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color w:val="000000"/>
          <w:sz w:val="32"/>
          <w:szCs w:val="32"/>
        </w:rPr>
      </w:pPr>
      <w:r>
        <w:rPr>
          <w:rFonts w:hint="eastAsia" w:ascii="宋体" w:hAnsi="宋体" w:eastAsia="宋体" w:cs="宋体"/>
          <w:b/>
          <w:color w:val="000000"/>
          <w:sz w:val="32"/>
          <w:szCs w:val="32"/>
        </w:rPr>
        <w:t>广东江门中医药职业学院针灸推拿专业人才培养方案（现代师承制）</w:t>
      </w:r>
    </w:p>
    <w:p>
      <w:pPr>
        <w:jc w:val="center"/>
        <w:rPr>
          <w:rFonts w:ascii="宋体" w:hAnsi="宋体" w:eastAsia="宋体" w:cs="宋体"/>
          <w:b/>
          <w:color w:val="000000"/>
          <w:sz w:val="32"/>
          <w:szCs w:val="32"/>
        </w:rPr>
      </w:pPr>
      <w:r>
        <w:rPr>
          <w:rFonts w:hint="eastAsia" w:ascii="宋体" w:hAnsi="宋体" w:eastAsia="宋体" w:cs="宋体"/>
          <w:b/>
          <w:color w:val="000000"/>
          <w:sz w:val="32"/>
          <w:szCs w:val="32"/>
        </w:rPr>
        <w:t>（202</w:t>
      </w:r>
      <w:r>
        <w:rPr>
          <w:rFonts w:hint="eastAsia" w:ascii="宋体" w:hAnsi="宋体" w:eastAsia="宋体" w:cs="宋体"/>
          <w:b/>
          <w:color w:val="000000"/>
          <w:sz w:val="32"/>
          <w:szCs w:val="32"/>
          <w:lang w:val="en-US" w:eastAsia="zh-CN"/>
        </w:rPr>
        <w:t>2</w:t>
      </w:r>
      <w:r>
        <w:rPr>
          <w:rFonts w:hint="eastAsia" w:ascii="宋体" w:hAnsi="宋体" w:eastAsia="宋体" w:cs="宋体"/>
          <w:b/>
          <w:color w:val="000000"/>
          <w:sz w:val="32"/>
          <w:szCs w:val="32"/>
        </w:rPr>
        <w:t>级）</w:t>
      </w:r>
    </w:p>
    <w:p>
      <w:pPr>
        <w:snapToGrid w:val="0"/>
        <w:spacing w:line="360" w:lineRule="auto"/>
        <w:ind w:firstLine="472" w:firstLineChars="196"/>
        <w:rPr>
          <w:rFonts w:ascii="宋体" w:hAnsi="宋体" w:eastAsia="宋体" w:cs="宋体"/>
          <w:b/>
          <w:color w:val="000000"/>
          <w:sz w:val="24"/>
        </w:rPr>
      </w:pPr>
      <w:r>
        <w:rPr>
          <w:rFonts w:hint="eastAsia" w:ascii="宋体" w:hAnsi="宋体" w:eastAsia="宋体" w:cs="宋体"/>
          <w:b/>
          <w:color w:val="000000"/>
          <w:sz w:val="24"/>
        </w:rPr>
        <w:t>一、专业名称及代码</w:t>
      </w:r>
    </w:p>
    <w:p>
      <w:pPr>
        <w:spacing w:line="360" w:lineRule="auto"/>
        <w:ind w:firstLine="480" w:firstLineChars="200"/>
        <w:jc w:val="left"/>
        <w:rPr>
          <w:rFonts w:ascii="宋体" w:hAnsi="宋体"/>
          <w:sz w:val="24"/>
        </w:rPr>
      </w:pPr>
      <w:r>
        <w:rPr>
          <w:rFonts w:hint="eastAsia" w:ascii="宋体" w:hAnsi="宋体"/>
          <w:sz w:val="24"/>
        </w:rPr>
        <w:t xml:space="preserve">（一）专业名称 </w:t>
      </w:r>
    </w:p>
    <w:p>
      <w:pPr>
        <w:spacing w:line="360" w:lineRule="auto"/>
        <w:ind w:firstLine="480" w:firstLineChars="200"/>
        <w:jc w:val="left"/>
        <w:rPr>
          <w:rFonts w:ascii="宋体" w:hAnsi="宋体"/>
          <w:sz w:val="24"/>
        </w:rPr>
      </w:pPr>
      <w:r>
        <w:rPr>
          <w:rFonts w:ascii="宋体" w:hAnsi="宋体"/>
          <w:sz w:val="24"/>
        </w:rPr>
        <w:t>针灸推拿</w:t>
      </w:r>
    </w:p>
    <w:p>
      <w:pPr>
        <w:spacing w:line="360" w:lineRule="auto"/>
        <w:ind w:firstLine="480" w:firstLineChars="200"/>
        <w:jc w:val="left"/>
        <w:rPr>
          <w:rFonts w:ascii="宋体" w:hAnsi="宋体"/>
          <w:sz w:val="24"/>
        </w:rPr>
      </w:pPr>
      <w:r>
        <w:rPr>
          <w:rFonts w:hint="eastAsia" w:ascii="宋体" w:hAnsi="宋体"/>
          <w:sz w:val="24"/>
        </w:rPr>
        <w:t xml:space="preserve">（二）专业代码 </w:t>
      </w:r>
      <w:bookmarkStart w:id="0" w:name="_GoBack"/>
      <w:bookmarkEnd w:id="0"/>
    </w:p>
    <w:p>
      <w:pPr>
        <w:spacing w:line="360" w:lineRule="auto"/>
        <w:ind w:firstLine="480" w:firstLineChars="200"/>
        <w:jc w:val="left"/>
        <w:rPr>
          <w:rFonts w:ascii="宋体" w:hAnsi="宋体"/>
          <w:sz w:val="24"/>
        </w:rPr>
      </w:pPr>
      <w:r>
        <w:rPr>
          <w:rFonts w:hint="eastAsia" w:ascii="宋体" w:hAnsi="宋体"/>
          <w:sz w:val="24"/>
        </w:rPr>
        <w:t>5</w:t>
      </w:r>
      <w:r>
        <w:rPr>
          <w:rFonts w:ascii="宋体" w:hAnsi="宋体"/>
          <w:sz w:val="24"/>
        </w:rPr>
        <w:t>20403K</w:t>
      </w:r>
    </w:p>
    <w:p>
      <w:pPr>
        <w:snapToGrid w:val="0"/>
        <w:spacing w:line="360" w:lineRule="auto"/>
        <w:ind w:firstLine="472" w:firstLineChars="196"/>
        <w:rPr>
          <w:rFonts w:ascii="宋体" w:hAnsi="宋体" w:eastAsia="宋体" w:cs="宋体"/>
          <w:b/>
          <w:color w:val="000000"/>
          <w:sz w:val="24"/>
        </w:rPr>
      </w:pPr>
      <w:r>
        <w:rPr>
          <w:rFonts w:hint="eastAsia" w:ascii="宋体" w:hAnsi="宋体" w:eastAsia="宋体" w:cs="宋体"/>
          <w:b/>
          <w:color w:val="000000"/>
          <w:sz w:val="24"/>
        </w:rPr>
        <w:t>二、入学要求</w:t>
      </w:r>
    </w:p>
    <w:p>
      <w:pPr>
        <w:spacing w:line="360" w:lineRule="auto"/>
        <w:ind w:firstLine="480" w:firstLineChars="200"/>
        <w:jc w:val="left"/>
        <w:rPr>
          <w:rFonts w:ascii="宋体" w:hAnsi="宋体"/>
          <w:sz w:val="24"/>
        </w:rPr>
      </w:pPr>
      <w:r>
        <w:rPr>
          <w:rFonts w:hint="eastAsia" w:ascii="宋体" w:hAnsi="宋体"/>
          <w:sz w:val="24"/>
        </w:rPr>
        <w:t>普通高级中学毕业、中等职业学校毕业或具备同等学力。</w:t>
      </w:r>
    </w:p>
    <w:p>
      <w:pPr>
        <w:snapToGrid w:val="0"/>
        <w:spacing w:line="360" w:lineRule="auto"/>
        <w:ind w:firstLine="472" w:firstLineChars="196"/>
        <w:rPr>
          <w:rFonts w:ascii="宋体" w:hAnsi="宋体" w:eastAsia="宋体" w:cs="宋体"/>
          <w:b/>
          <w:color w:val="000000"/>
          <w:sz w:val="24"/>
        </w:rPr>
      </w:pPr>
      <w:r>
        <w:rPr>
          <w:rFonts w:hint="eastAsia" w:ascii="宋体" w:hAnsi="宋体" w:eastAsia="宋体" w:cs="宋体"/>
          <w:b/>
          <w:color w:val="000000"/>
          <w:sz w:val="24"/>
        </w:rPr>
        <w:t>三、修业年限</w:t>
      </w:r>
    </w:p>
    <w:p>
      <w:pPr>
        <w:spacing w:line="360" w:lineRule="auto"/>
        <w:ind w:firstLine="480" w:firstLineChars="200"/>
        <w:rPr>
          <w:rFonts w:hint="default" w:ascii="宋体" w:hAnsi="宋体" w:eastAsiaTheme="minorEastAsia"/>
          <w:sz w:val="24"/>
          <w:lang w:val="en-US" w:eastAsia="zh-CN"/>
        </w:rPr>
      </w:pPr>
      <w:r>
        <w:rPr>
          <w:rFonts w:hint="eastAsia" w:ascii="宋体" w:hAnsi="宋体"/>
          <w:sz w:val="24"/>
          <w:lang w:val="en-US" w:eastAsia="zh-CN"/>
        </w:rPr>
        <w:t>基本学</w:t>
      </w:r>
      <w:r>
        <w:rPr>
          <w:rFonts w:hint="eastAsia" w:ascii="宋体" w:hAnsi="宋体"/>
          <w:sz w:val="24"/>
        </w:rPr>
        <w:t>制3年</w:t>
      </w:r>
      <w:r>
        <w:rPr>
          <w:rFonts w:hint="eastAsia" w:ascii="宋体" w:hAnsi="宋体"/>
          <w:sz w:val="24"/>
          <w:lang w:eastAsia="zh-CN"/>
        </w:rPr>
        <w:t>，</w:t>
      </w:r>
      <w:r>
        <w:rPr>
          <w:rFonts w:hint="eastAsia" w:ascii="宋体" w:hAnsi="宋体"/>
          <w:sz w:val="24"/>
          <w:lang w:val="en-US" w:eastAsia="zh-CN"/>
        </w:rPr>
        <w:t>修业年限3-5年。</w:t>
      </w:r>
    </w:p>
    <w:p>
      <w:pPr>
        <w:numPr>
          <w:ilvl w:val="0"/>
          <w:numId w:val="1"/>
        </w:numPr>
        <w:snapToGrid w:val="0"/>
        <w:spacing w:line="360" w:lineRule="auto"/>
        <w:ind w:firstLine="472" w:firstLineChars="196"/>
        <w:rPr>
          <w:rFonts w:ascii="宋体" w:hAnsi="宋体" w:eastAsia="宋体" w:cs="宋体"/>
          <w:b/>
          <w:color w:val="000000"/>
          <w:sz w:val="24"/>
        </w:rPr>
      </w:pPr>
      <w:r>
        <w:rPr>
          <w:rFonts w:hint="eastAsia" w:ascii="宋体" w:hAnsi="宋体" w:eastAsia="宋体" w:cs="宋体"/>
          <w:b/>
          <w:color w:val="000000"/>
          <w:sz w:val="24"/>
        </w:rPr>
        <w:t>就业面向</w:t>
      </w:r>
    </w:p>
    <w:p>
      <w:pPr>
        <w:spacing w:line="360" w:lineRule="auto"/>
        <w:ind w:firstLine="602" w:firstLineChars="250"/>
        <w:jc w:val="center"/>
        <w:rPr>
          <w:rFonts w:ascii="宋体" w:hAnsi="宋体"/>
          <w:b/>
          <w:sz w:val="24"/>
        </w:rPr>
      </w:pPr>
      <w:r>
        <w:rPr>
          <w:rFonts w:hint="eastAsia" w:ascii="宋体" w:hAnsi="宋体"/>
          <w:b/>
          <w:sz w:val="24"/>
        </w:rPr>
        <w:t>表1 针灸推拿专业就业方向</w:t>
      </w:r>
    </w:p>
    <w:tbl>
      <w:tblPr>
        <w:tblStyle w:val="5"/>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84"/>
        <w:gridCol w:w="2722"/>
        <w:gridCol w:w="3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31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b/>
                <w:sz w:val="24"/>
              </w:rPr>
            </w:pPr>
            <w:r>
              <w:rPr>
                <w:rFonts w:hint="eastAsia" w:ascii="宋体" w:hAnsi="宋体" w:eastAsia="宋体" w:cs="Times New Roman"/>
                <w:b/>
                <w:sz w:val="24"/>
              </w:rPr>
              <w:t>就业岗位</w:t>
            </w:r>
          </w:p>
        </w:tc>
        <w:tc>
          <w:tcPr>
            <w:tcW w:w="27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b/>
                <w:sz w:val="24"/>
              </w:rPr>
            </w:pPr>
            <w:r>
              <w:rPr>
                <w:rFonts w:hint="eastAsia" w:ascii="宋体" w:hAnsi="宋体" w:eastAsia="宋体" w:cs="Times New Roman"/>
                <w:b/>
                <w:sz w:val="24"/>
              </w:rPr>
              <w:t>主要工作任务</w:t>
            </w:r>
          </w:p>
        </w:tc>
        <w:tc>
          <w:tcPr>
            <w:tcW w:w="39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b/>
                <w:sz w:val="24"/>
              </w:rPr>
            </w:pPr>
            <w:r>
              <w:rPr>
                <w:rFonts w:hint="eastAsia" w:ascii="宋体" w:hAnsi="宋体" w:eastAsia="宋体" w:cs="Times New Roman"/>
                <w:b/>
                <w:sz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31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sz w:val="24"/>
              </w:rPr>
            </w:pPr>
            <w:r>
              <w:rPr>
                <w:rFonts w:hint="eastAsia" w:ascii="宋体" w:hAnsi="宋体" w:eastAsia="宋体" w:cs="Times New Roman"/>
                <w:sz w:val="24"/>
              </w:rPr>
              <w:t>中医科医师</w:t>
            </w:r>
          </w:p>
        </w:tc>
        <w:tc>
          <w:tcPr>
            <w:tcW w:w="27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sz w:val="24"/>
              </w:rPr>
            </w:pPr>
            <w:r>
              <w:rPr>
                <w:rFonts w:ascii="宋体" w:hAnsi="宋体" w:eastAsia="宋体" w:cs="Times New Roman"/>
                <w:sz w:val="24"/>
              </w:rPr>
              <w:t>疾病诊断与治疗</w:t>
            </w:r>
          </w:p>
        </w:tc>
        <w:tc>
          <w:tcPr>
            <w:tcW w:w="39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sz w:val="24"/>
              </w:rPr>
            </w:pPr>
            <w:r>
              <w:rPr>
                <w:rFonts w:ascii="宋体" w:hAnsi="宋体" w:eastAsia="宋体" w:cs="Times New Roman"/>
                <w:sz w:val="24"/>
              </w:rPr>
              <w:t>执业助理中医师资格证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31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sz w:val="24"/>
              </w:rPr>
            </w:pPr>
            <w:r>
              <w:rPr>
                <w:rFonts w:ascii="宋体" w:hAnsi="宋体" w:eastAsia="宋体" w:cs="Times New Roman"/>
                <w:sz w:val="24"/>
              </w:rPr>
              <w:t>针灸科医师</w:t>
            </w:r>
          </w:p>
        </w:tc>
        <w:tc>
          <w:tcPr>
            <w:tcW w:w="27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sz w:val="24"/>
              </w:rPr>
            </w:pPr>
            <w:r>
              <w:rPr>
                <w:rFonts w:ascii="宋体" w:hAnsi="宋体" w:eastAsia="宋体" w:cs="Times New Roman"/>
                <w:sz w:val="24"/>
              </w:rPr>
              <w:t>疾病诊断与治疗</w:t>
            </w:r>
          </w:p>
        </w:tc>
        <w:tc>
          <w:tcPr>
            <w:tcW w:w="39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sz w:val="24"/>
              </w:rPr>
            </w:pPr>
            <w:r>
              <w:rPr>
                <w:rFonts w:ascii="宋体" w:hAnsi="宋体" w:eastAsia="宋体" w:cs="Times New Roman"/>
                <w:sz w:val="24"/>
              </w:rPr>
              <w:t>执业助理中医师资格证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31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sz w:val="24"/>
              </w:rPr>
            </w:pPr>
            <w:r>
              <w:rPr>
                <w:rFonts w:ascii="宋体" w:hAnsi="宋体" w:eastAsia="宋体" w:cs="Times New Roman"/>
                <w:sz w:val="24"/>
              </w:rPr>
              <w:t>康复科技师</w:t>
            </w:r>
          </w:p>
        </w:tc>
        <w:tc>
          <w:tcPr>
            <w:tcW w:w="272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sz w:val="24"/>
              </w:rPr>
            </w:pPr>
            <w:r>
              <w:rPr>
                <w:rFonts w:ascii="宋体" w:hAnsi="宋体" w:eastAsia="宋体" w:cs="Times New Roman"/>
                <w:sz w:val="24"/>
              </w:rPr>
              <w:t>疾病治疗与康复</w:t>
            </w:r>
          </w:p>
        </w:tc>
        <w:tc>
          <w:tcPr>
            <w:tcW w:w="394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eastAsia="宋体" w:cs="Times New Roman"/>
                <w:sz w:val="24"/>
              </w:rPr>
            </w:pPr>
            <w:r>
              <w:rPr>
                <w:rFonts w:ascii="宋体" w:hAnsi="宋体" w:eastAsia="宋体" w:cs="Times New Roman"/>
                <w:sz w:val="24"/>
              </w:rPr>
              <w:t>康复治疗师资格证</w:t>
            </w:r>
          </w:p>
        </w:tc>
      </w:tr>
    </w:tbl>
    <w:p>
      <w:pPr>
        <w:snapToGrid w:val="0"/>
        <w:spacing w:line="360" w:lineRule="auto"/>
        <w:ind w:firstLine="472" w:firstLineChars="196"/>
        <w:rPr>
          <w:rFonts w:ascii="宋体" w:hAnsi="宋体" w:eastAsia="宋体" w:cs="宋体"/>
          <w:b/>
          <w:color w:val="000000"/>
          <w:sz w:val="24"/>
        </w:rPr>
      </w:pPr>
      <w:r>
        <w:rPr>
          <w:rFonts w:hint="eastAsia" w:ascii="宋体" w:hAnsi="宋体" w:eastAsia="宋体" w:cs="宋体"/>
          <w:b/>
          <w:color w:val="000000"/>
          <w:sz w:val="24"/>
        </w:rPr>
        <w:t>五、培养目标与培养规格</w:t>
      </w:r>
    </w:p>
    <w:p>
      <w:pPr>
        <w:snapToGrid w:val="0"/>
        <w:spacing w:line="360" w:lineRule="auto"/>
        <w:ind w:firstLine="472" w:firstLineChars="196"/>
        <w:rPr>
          <w:rFonts w:ascii="宋体" w:hAnsi="宋体" w:eastAsia="宋体" w:cs="宋体"/>
          <w:b/>
          <w:color w:val="000000"/>
          <w:sz w:val="24"/>
        </w:rPr>
      </w:pPr>
      <w:r>
        <w:rPr>
          <w:rFonts w:hint="eastAsia" w:ascii="宋体" w:hAnsi="宋体" w:eastAsia="宋体" w:cs="宋体"/>
          <w:b/>
          <w:color w:val="000000"/>
          <w:sz w:val="24"/>
        </w:rPr>
        <w:t>（一）培养目标</w:t>
      </w:r>
    </w:p>
    <w:p>
      <w:pPr>
        <w:snapToGrid w:val="0"/>
        <w:spacing w:line="360" w:lineRule="auto"/>
        <w:ind w:firstLine="470" w:firstLineChars="196"/>
        <w:rPr>
          <w:rFonts w:ascii="宋体" w:hAnsi="宋体" w:eastAsia="宋体" w:cs="宋体"/>
          <w:color w:val="000000"/>
          <w:sz w:val="24"/>
        </w:rPr>
      </w:pPr>
      <w:r>
        <w:rPr>
          <w:rFonts w:hint="eastAsia" w:ascii="宋体" w:hAnsi="宋体" w:eastAsia="宋体" w:cs="宋体"/>
          <w:color w:val="000000"/>
          <w:kern w:val="0"/>
          <w:sz w:val="24"/>
        </w:rPr>
        <w:t>本专业培养理想信念坚定，德、智、体、美、劳全面发展，具有一定的科学文化水平，良好的人文素养、职业道德和创新意识，精益求精的工匠精神，具有较强的就业能力和可持续发展的能力；掌握针灸推拿专业基本知识、专业理论和实践技能，面向卫生和社会工作行业的针灸医师、中医推拿医师和康复技师等职业群，能够从事中医医疗、针灸、推拿和康复养生保健等相关工作的高素质技术技能人オ。</w:t>
      </w:r>
    </w:p>
    <w:p>
      <w:pPr>
        <w:snapToGrid w:val="0"/>
        <w:spacing w:line="360" w:lineRule="auto"/>
        <w:ind w:firstLine="472" w:firstLineChars="196"/>
        <w:rPr>
          <w:rFonts w:ascii="宋体" w:hAnsi="宋体" w:eastAsia="宋体" w:cs="宋体"/>
          <w:b/>
          <w:color w:val="000000"/>
          <w:sz w:val="24"/>
        </w:rPr>
      </w:pPr>
      <w:r>
        <w:rPr>
          <w:rFonts w:hint="eastAsia" w:ascii="宋体" w:hAnsi="宋体" w:eastAsia="宋体" w:cs="宋体"/>
          <w:b/>
          <w:color w:val="000000"/>
          <w:sz w:val="24"/>
        </w:rPr>
        <w:t>（二）培养规格</w:t>
      </w:r>
    </w:p>
    <w:p>
      <w:pPr>
        <w:snapToGrid w:val="0"/>
        <w:spacing w:line="360" w:lineRule="auto"/>
        <w:ind w:firstLine="472" w:firstLineChars="196"/>
        <w:rPr>
          <w:rFonts w:ascii="宋体" w:hAnsi="宋体" w:eastAsia="宋体" w:cs="宋体"/>
          <w:b/>
          <w:bCs/>
          <w:color w:val="000000"/>
          <w:sz w:val="24"/>
        </w:rPr>
      </w:pPr>
      <w:r>
        <w:rPr>
          <w:rFonts w:hint="eastAsia" w:ascii="宋体" w:hAnsi="宋体" w:eastAsia="宋体" w:cs="宋体"/>
          <w:b/>
          <w:bCs/>
          <w:color w:val="000000"/>
          <w:sz w:val="24"/>
        </w:rPr>
        <w:t>1.素质</w:t>
      </w:r>
    </w:p>
    <w:p>
      <w:pPr>
        <w:snapToGrid w:val="0"/>
        <w:spacing w:line="360" w:lineRule="auto"/>
        <w:ind w:firstLine="470" w:firstLineChars="196"/>
        <w:rPr>
          <w:rFonts w:ascii="宋体" w:hAnsi="宋体" w:eastAsia="宋体" w:cs="宋体"/>
          <w:bCs/>
          <w:color w:val="000000"/>
          <w:sz w:val="24"/>
        </w:rPr>
      </w:pPr>
      <w:r>
        <w:rPr>
          <w:rFonts w:hint="eastAsia" w:ascii="宋体" w:hAnsi="宋体" w:eastAsia="宋体" w:cs="宋体"/>
          <w:bCs/>
          <w:color w:val="000000"/>
          <w:sz w:val="24"/>
        </w:rPr>
        <w:t>(1)坚定拥护中国共产党领导和我国社会主义制度，在习近平新时代中国特色社会主义思想指引下，践行社会主义核心价值观，具有深厚的爱国情感和中华民族自豪感。</w:t>
      </w:r>
    </w:p>
    <w:p>
      <w:pPr>
        <w:snapToGrid w:val="0"/>
        <w:spacing w:line="360" w:lineRule="auto"/>
        <w:ind w:firstLine="470" w:firstLineChars="196"/>
        <w:rPr>
          <w:rFonts w:ascii="宋体" w:hAnsi="宋体" w:eastAsia="宋体" w:cs="宋体"/>
          <w:bCs/>
          <w:color w:val="000000"/>
          <w:sz w:val="24"/>
        </w:rPr>
      </w:pPr>
      <w:r>
        <w:rPr>
          <w:rFonts w:hint="eastAsia" w:ascii="宋体" w:hAnsi="宋体" w:eastAsia="宋体" w:cs="宋体"/>
          <w:bCs/>
          <w:color w:val="000000"/>
          <w:sz w:val="24"/>
        </w:rPr>
        <w:t>(2)崇尚宪法、遵法守纪、崇徳向善、诚实守信、尊重生命、热爱劳动，履行道德准则和行为规范，具有社会责任感和社会参与意识。</w:t>
      </w:r>
    </w:p>
    <w:p>
      <w:pPr>
        <w:snapToGrid w:val="0"/>
        <w:spacing w:line="360" w:lineRule="auto"/>
        <w:ind w:firstLine="470" w:firstLineChars="196"/>
        <w:rPr>
          <w:rFonts w:ascii="宋体" w:hAnsi="宋体" w:eastAsia="宋体" w:cs="宋体"/>
          <w:bCs/>
          <w:color w:val="000000"/>
          <w:sz w:val="24"/>
        </w:rPr>
      </w:pPr>
      <w:r>
        <w:rPr>
          <w:rFonts w:hint="eastAsia" w:ascii="宋体" w:hAnsi="宋体" w:eastAsia="宋体" w:cs="宋体"/>
          <w:bCs/>
          <w:color w:val="000000"/>
          <w:sz w:val="24"/>
        </w:rPr>
        <w:t>(3)具有质量意识、环保意识、安全意识、信息素养、工匠精神、创新思维、全球视野和市场洞察力。</w:t>
      </w:r>
    </w:p>
    <w:p>
      <w:pPr>
        <w:snapToGrid w:val="0"/>
        <w:spacing w:line="360" w:lineRule="auto"/>
        <w:ind w:firstLine="470" w:firstLineChars="196"/>
        <w:rPr>
          <w:rFonts w:ascii="宋体" w:hAnsi="宋体" w:eastAsia="宋体" w:cs="宋体"/>
          <w:bCs/>
          <w:color w:val="000000"/>
          <w:sz w:val="24"/>
        </w:rPr>
      </w:pPr>
      <w:r>
        <w:rPr>
          <w:rFonts w:hint="eastAsia" w:ascii="宋体" w:hAnsi="宋体" w:eastAsia="宋体" w:cs="宋体"/>
          <w:bCs/>
          <w:color w:val="000000"/>
          <w:sz w:val="24"/>
        </w:rPr>
        <w:t>(4)勇于奋斗、乐观向上，具有自我管理能力、职业生涯规划的意识，有较强的集体意识和团队合作精神。</w:t>
      </w:r>
    </w:p>
    <w:p>
      <w:pPr>
        <w:snapToGrid w:val="0"/>
        <w:spacing w:line="360" w:lineRule="auto"/>
        <w:ind w:firstLine="470" w:firstLineChars="196"/>
        <w:rPr>
          <w:rFonts w:ascii="宋体" w:hAnsi="宋体" w:eastAsia="宋体" w:cs="宋体"/>
          <w:bCs/>
          <w:color w:val="000000"/>
          <w:sz w:val="24"/>
        </w:rPr>
      </w:pPr>
      <w:r>
        <w:rPr>
          <w:rFonts w:hint="eastAsia" w:ascii="宋体" w:hAnsi="宋体" w:eastAsia="宋体" w:cs="宋体"/>
          <w:bCs/>
          <w:color w:val="000000"/>
          <w:sz w:val="24"/>
        </w:rPr>
        <w:t>(5)具有健康的体魄、心理和健全的人格，掌握基本运动知识和1～2项运动技能，养成良好的健身与卫生习惯，以及良好的行为习惯。</w:t>
      </w:r>
    </w:p>
    <w:p>
      <w:pPr>
        <w:snapToGrid w:val="0"/>
        <w:spacing w:line="360" w:lineRule="auto"/>
        <w:ind w:firstLine="470" w:firstLineChars="196"/>
        <w:rPr>
          <w:rFonts w:ascii="宋体" w:hAnsi="宋体" w:eastAsia="宋体" w:cs="宋体"/>
          <w:bCs/>
          <w:color w:val="000000"/>
          <w:sz w:val="24"/>
        </w:rPr>
      </w:pPr>
      <w:r>
        <w:rPr>
          <w:rFonts w:hint="eastAsia" w:ascii="宋体" w:hAnsi="宋体" w:eastAsia="宋体" w:cs="宋体"/>
          <w:bCs/>
          <w:color w:val="000000"/>
          <w:sz w:val="24"/>
        </w:rPr>
        <w:t>(6)具有一定的审美和人文素养，能够形成1～2项艺术特长或爱好。</w:t>
      </w:r>
    </w:p>
    <w:p>
      <w:pPr>
        <w:adjustRightInd w:val="0"/>
        <w:snapToGrid w:val="0"/>
        <w:spacing w:line="360" w:lineRule="auto"/>
        <w:ind w:firstLine="482" w:firstLineChars="200"/>
        <w:rPr>
          <w:rFonts w:ascii="宋体" w:hAnsi="宋体" w:eastAsia="宋体" w:cs="宋体"/>
          <w:b/>
          <w:bCs/>
          <w:color w:val="000000"/>
          <w:sz w:val="24"/>
        </w:rPr>
      </w:pPr>
      <w:r>
        <w:rPr>
          <w:rFonts w:hint="eastAsia" w:ascii="宋体" w:hAnsi="宋体" w:eastAsia="宋体" w:cs="宋体"/>
          <w:b/>
          <w:bCs/>
          <w:color w:val="000000"/>
          <w:sz w:val="24"/>
        </w:rPr>
        <w:t>2.知识</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(1)掌握必备的思想政治理论、科学文化基础知识和中华优秀传统文化知识。</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(2)熟悉与本专业相关的法律法规以及环境保护、安全消防、文明生产与安全等知识。</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(3)掌握中医基础、中医诊断、中药、方剂等基本知识，掌握中医临床各科等基本知识</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(4)掌握现代医学解剖、生理、病理、药理等基础知识，掌握西医诊断学及临床各科等基本知识。</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(5)掌握经络腧穴基本概念，十四经穴循行路线、起止点，常见腧穴定位取穴、主治及危险部位穴位操作方法等基本知识。</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(6)掌握针法灸法、推拿手法的基本概念，常用针刺手法、灸法、罐法、推拿手法及临床运用等基本知识。</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(7)掌握针灸、推拿疗法在临床各科常见病治疗中诊断、辦证施治(针灸、推拿处方)等基本知识。</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(8)熟悉中医康复、中医养生等基本知识。</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(9)了解现代康复医学、预防医学、急症医学等方面的知识。</w:t>
      </w:r>
    </w:p>
    <w:p>
      <w:pPr>
        <w:adjustRightInd w:val="0"/>
        <w:snapToGrid w:val="0"/>
        <w:spacing w:line="360" w:lineRule="auto"/>
        <w:ind w:firstLine="482" w:firstLineChars="200"/>
        <w:rPr>
          <w:rFonts w:ascii="宋体" w:hAnsi="宋体" w:eastAsia="宋体" w:cs="宋体"/>
          <w:b/>
          <w:bCs/>
          <w:color w:val="000000"/>
          <w:sz w:val="24"/>
        </w:rPr>
      </w:pPr>
      <w:r>
        <w:rPr>
          <w:rFonts w:hint="eastAsia" w:ascii="宋体" w:hAnsi="宋体" w:eastAsia="宋体" w:cs="宋体"/>
          <w:b/>
          <w:bCs/>
          <w:color w:val="000000"/>
          <w:sz w:val="24"/>
        </w:rPr>
        <w:t>3.能力</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(1)具有探究学习、终身学习、分析问题和解决问题的能力。</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(2)具有良好的语言、文字表达能力和沟通能力。</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(3)能运用中医整体观念、辨证论治的基本观念进行逻辑思维。</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(4)能运用中医望、闻、问、切并结合西医学诊断方法，正确做出本专业常见疾病的诊断及症候辩析。</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(5)能运用中医诊治程序、方剂的组方原理和配伍规律，对常见病进行正确处方、合理用药。</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(6)能运用传统针灸疗法与现代常用针灸仪器治疗常见病症。</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(7)能运用推拿疗法、中医其他外治方法治疗常见病症。</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(8)能对危重急诊进行应急处理和转院前预处理。</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(9)能规范书写中医医疗文书。</w:t>
      </w:r>
    </w:p>
    <w:p>
      <w:pPr>
        <w:adjustRightInd w:val="0"/>
        <w:snapToGrid w:val="0"/>
        <w:spacing w:line="360" w:lineRule="auto"/>
        <w:ind w:firstLine="480" w:firstLineChars="200"/>
        <w:rPr>
          <w:rFonts w:ascii="宋体" w:hAnsi="宋体" w:eastAsia="宋体" w:cs="宋体"/>
          <w:bCs/>
          <w:color w:val="000000"/>
          <w:sz w:val="24"/>
        </w:rPr>
      </w:pPr>
      <w:r>
        <w:rPr>
          <w:rFonts w:hint="eastAsia" w:ascii="宋体" w:hAnsi="宋体" w:eastAsia="宋体" w:cs="宋体"/>
          <w:bCs/>
          <w:color w:val="000000"/>
          <w:sz w:val="24"/>
        </w:rPr>
        <w:t>(10)能在康复养生保健机构进行康复保健项目的技术指导和操作。</w:t>
      </w:r>
    </w:p>
    <w:p>
      <w:pPr>
        <w:snapToGrid w:val="0"/>
        <w:spacing w:line="360" w:lineRule="auto"/>
        <w:ind w:firstLine="472" w:firstLineChars="196"/>
        <w:rPr>
          <w:rFonts w:ascii="宋体" w:hAnsi="宋体" w:eastAsia="宋体" w:cs="宋体"/>
          <w:b/>
          <w:color w:val="000000"/>
          <w:sz w:val="24"/>
        </w:rPr>
      </w:pPr>
      <w:r>
        <w:rPr>
          <w:rFonts w:hint="eastAsia" w:ascii="宋体" w:hAnsi="宋体" w:eastAsia="宋体" w:cs="宋体"/>
          <w:b/>
          <w:color w:val="000000"/>
          <w:sz w:val="24"/>
        </w:rPr>
        <w:t>六、课程设置及要求</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本专业课程体系分公共基础课程、专业基础课程、专业核心课程、选修课程（任选课、限选课）四大类。</w:t>
      </w:r>
    </w:p>
    <w:p>
      <w:pPr>
        <w:spacing w:line="360" w:lineRule="auto"/>
        <w:jc w:val="center"/>
        <w:rPr>
          <w:rFonts w:hint="eastAsia" w:ascii="宋体" w:hAnsi="宋体" w:eastAsia="宋体" w:cs="Times New Roman"/>
          <w:b/>
          <w:sz w:val="24"/>
        </w:rPr>
      </w:pPr>
    </w:p>
    <w:p>
      <w:pPr>
        <w:spacing w:line="360" w:lineRule="auto"/>
        <w:jc w:val="center"/>
        <w:rPr>
          <w:rFonts w:ascii="宋体" w:hAnsi="宋体" w:eastAsia="宋体" w:cs="Times New Roman"/>
          <w:b/>
          <w:sz w:val="24"/>
        </w:rPr>
      </w:pPr>
      <w:r>
        <w:rPr>
          <w:rFonts w:hint="eastAsia" w:ascii="宋体" w:hAnsi="宋体" w:eastAsia="宋体" w:cs="Times New Roman"/>
          <w:b/>
          <w:sz w:val="24"/>
        </w:rPr>
        <w:t>表2 针灸推拿专业课程设置</w:t>
      </w:r>
    </w:p>
    <w:tbl>
      <w:tblPr>
        <w:tblStyle w:val="5"/>
        <w:tblW w:w="9854" w:type="dxa"/>
        <w:tblInd w:w="0" w:type="dxa"/>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1900"/>
        <w:gridCol w:w="6216"/>
        <w:gridCol w:w="1738"/>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tcBorders>
              <w:bottom w:val="single" w:color="auto" w:sz="8" w:space="0"/>
              <w:right w:val="single" w:color="auto" w:sz="8" w:space="0"/>
            </w:tcBorders>
            <w:noWrap/>
            <w:vAlign w:val="center"/>
          </w:tcPr>
          <w:p>
            <w:pPr>
              <w:widowControl/>
              <w:spacing w:line="360" w:lineRule="auto"/>
              <w:jc w:val="center"/>
              <w:rPr>
                <w:rFonts w:ascii="宋体" w:hAnsi="宋体" w:eastAsia="宋体" w:cs="宋体"/>
                <w:kern w:val="0"/>
                <w:sz w:val="24"/>
              </w:rPr>
            </w:pPr>
            <w:r>
              <w:rPr>
                <w:rFonts w:hint="eastAsia" w:ascii="宋体" w:hAnsi="宋体" w:eastAsia="宋体" w:cs="宋体"/>
                <w:kern w:val="0"/>
                <w:sz w:val="24"/>
              </w:rPr>
              <w:t>课程类型</w:t>
            </w:r>
          </w:p>
        </w:tc>
        <w:tc>
          <w:tcPr>
            <w:tcW w:w="6216" w:type="dxa"/>
            <w:tcBorders>
              <w:left w:val="nil"/>
              <w:bottom w:val="single" w:color="auto" w:sz="8" w:space="0"/>
              <w:right w:val="single" w:color="auto" w:sz="8" w:space="0"/>
            </w:tcBorders>
            <w:noWrap/>
            <w:vAlign w:val="center"/>
          </w:tcPr>
          <w:p>
            <w:pPr>
              <w:widowControl/>
              <w:spacing w:line="360" w:lineRule="auto"/>
              <w:jc w:val="center"/>
              <w:rPr>
                <w:rFonts w:ascii="宋体" w:hAnsi="宋体" w:eastAsia="宋体" w:cs="宋体"/>
                <w:kern w:val="0"/>
                <w:sz w:val="24"/>
              </w:rPr>
            </w:pPr>
            <w:r>
              <w:rPr>
                <w:rFonts w:hint="eastAsia" w:ascii="宋体" w:hAnsi="宋体" w:eastAsia="宋体" w:cs="宋体"/>
                <w:kern w:val="0"/>
                <w:sz w:val="24"/>
              </w:rPr>
              <w:t>课程名称</w:t>
            </w:r>
          </w:p>
        </w:tc>
        <w:tc>
          <w:tcPr>
            <w:tcW w:w="1738" w:type="dxa"/>
            <w:tcBorders>
              <w:left w:val="nil"/>
              <w:bottom w:val="single" w:color="auto" w:sz="8" w:space="0"/>
            </w:tcBorders>
            <w:noWrap/>
            <w:vAlign w:val="center"/>
          </w:tcPr>
          <w:p>
            <w:pPr>
              <w:widowControl/>
              <w:spacing w:line="360" w:lineRule="auto"/>
              <w:jc w:val="center"/>
              <w:rPr>
                <w:rFonts w:ascii="宋体" w:hAnsi="宋体" w:eastAsia="宋体" w:cs="宋体"/>
                <w:kern w:val="0"/>
                <w:sz w:val="24"/>
              </w:rPr>
            </w:pPr>
            <w:r>
              <w:rPr>
                <w:rFonts w:hint="eastAsia" w:ascii="宋体" w:hAnsi="宋体" w:eastAsia="宋体" w:cs="宋体"/>
                <w:kern w:val="0"/>
                <w:sz w:val="24"/>
              </w:rPr>
              <w:t>课程性质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restart"/>
            <w:tcBorders>
              <w:top w:val="nil"/>
              <w:right w:val="single" w:color="auto" w:sz="8" w:space="0"/>
            </w:tcBorders>
            <w:noWrap/>
            <w:vAlign w:val="center"/>
          </w:tcPr>
          <w:p>
            <w:pPr>
              <w:widowControl/>
              <w:spacing w:line="360" w:lineRule="auto"/>
              <w:jc w:val="center"/>
              <w:rPr>
                <w:rFonts w:ascii="宋体" w:hAnsi="宋体" w:eastAsia="宋体" w:cs="宋体"/>
                <w:kern w:val="0"/>
                <w:sz w:val="24"/>
              </w:rPr>
            </w:pPr>
            <w:r>
              <w:rPr>
                <w:rFonts w:hint="eastAsia" w:ascii="宋体" w:hAnsi="宋体" w:eastAsia="宋体" w:cs="宋体"/>
                <w:kern w:val="0"/>
                <w:sz w:val="24"/>
              </w:rPr>
              <w:t>公共基础课</w:t>
            </w: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军事理论与军事技能</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widowControl/>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hint="eastAsia" w:ascii="宋体" w:hAnsi="宋体" w:eastAsia="宋体"/>
                <w:sz w:val="24"/>
                <w:lang w:eastAsia="zh-CN"/>
              </w:rPr>
            </w:pPr>
            <w:r>
              <w:rPr>
                <w:rFonts w:hint="eastAsia" w:ascii="宋体" w:hAnsi="宋体" w:eastAsia="宋体"/>
                <w:sz w:val="24"/>
                <w:lang w:eastAsia="zh-CN"/>
              </w:rPr>
              <w:t>思想道德与法治</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马克思主义中国化进程与青年学生使命担当</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vAlign w:val="top"/>
          </w:tcPr>
          <w:p>
            <w:pPr>
              <w:spacing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习近平新时代中国特色社会主义思想概论</w:t>
            </w:r>
          </w:p>
        </w:tc>
        <w:tc>
          <w:tcPr>
            <w:tcW w:w="1738" w:type="dxa"/>
            <w:tcBorders>
              <w:top w:val="nil"/>
              <w:left w:val="nil"/>
              <w:bottom w:val="single" w:color="auto" w:sz="8" w:space="0"/>
            </w:tcBorders>
            <w:vAlign w:val="top"/>
          </w:tcPr>
          <w:p>
            <w:pPr>
              <w:spacing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lang w:val="en-US" w:eastAsia="zh-CN"/>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毛泽东思想和中国特色社会主义理论体系概论</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形势与政策</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体育</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大学生心理健康教育</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大学生职业发展与就业指导</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创新创业教育</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信息技术</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劳动教育</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英语</w:t>
            </w:r>
          </w:p>
        </w:tc>
        <w:tc>
          <w:tcPr>
            <w:tcW w:w="1738" w:type="dxa"/>
            <w:tcBorders>
              <w:top w:val="nil"/>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8" w:space="0"/>
            </w:tcBorders>
            <w:noWrap/>
            <w:vAlign w:val="center"/>
          </w:tcPr>
          <w:p>
            <w:pPr>
              <w:spacing w:line="360" w:lineRule="auto"/>
              <w:rPr>
                <w:rFonts w:ascii="宋体" w:hAnsi="宋体" w:eastAsia="宋体" w:cs="宋体"/>
                <w:kern w:val="0"/>
                <w:sz w:val="24"/>
              </w:rPr>
            </w:pPr>
          </w:p>
        </w:tc>
        <w:tc>
          <w:tcPr>
            <w:tcW w:w="6216" w:type="dxa"/>
            <w:tcBorders>
              <w:top w:val="nil"/>
              <w:left w:val="nil"/>
              <w:bottom w:val="single" w:color="auto" w:sz="8" w:space="0"/>
              <w:right w:val="single" w:color="auto" w:sz="8" w:space="0"/>
            </w:tcBorders>
            <w:noWrap/>
            <w:vAlign w:val="top"/>
          </w:tcPr>
          <w:p>
            <w:pPr>
              <w:spacing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国家安全教育</w:t>
            </w:r>
          </w:p>
        </w:tc>
        <w:tc>
          <w:tcPr>
            <w:tcW w:w="1738" w:type="dxa"/>
            <w:tcBorders>
              <w:top w:val="nil"/>
              <w:left w:val="nil"/>
              <w:bottom w:val="single" w:color="auto" w:sz="8" w:space="0"/>
            </w:tcBorders>
            <w:vAlign w:val="top"/>
          </w:tcPr>
          <w:p>
            <w:pPr>
              <w:spacing w:line="360" w:lineRule="auto"/>
              <w:jc w:val="center"/>
              <w:rPr>
                <w:rFonts w:hint="eastAsia" w:ascii="宋体" w:hAnsi="宋体" w:eastAsia="宋体" w:cstheme="minorBidi"/>
                <w:kern w:val="2"/>
                <w:sz w:val="24"/>
                <w:szCs w:val="24"/>
                <w:lang w:val="en-US" w:eastAsia="zh-CN" w:bidi="ar-SA"/>
              </w:rP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restart"/>
            <w:tcBorders>
              <w:top w:val="single" w:color="auto" w:sz="4" w:space="0"/>
              <w:bottom w:val="single" w:color="auto" w:sz="4" w:space="0"/>
              <w:right w:val="single" w:color="auto" w:sz="4" w:space="0"/>
            </w:tcBorders>
            <w:noWrap/>
            <w:vAlign w:val="center"/>
          </w:tcPr>
          <w:p>
            <w:pPr>
              <w:spacing w:line="360" w:lineRule="auto"/>
              <w:jc w:val="center"/>
              <w:rPr>
                <w:rFonts w:ascii="宋体" w:hAnsi="宋体" w:eastAsia="宋体" w:cs="宋体"/>
                <w:kern w:val="0"/>
                <w:sz w:val="24"/>
              </w:rPr>
            </w:pPr>
            <w:r>
              <w:rPr>
                <w:rFonts w:hint="eastAsia" w:ascii="宋体" w:hAnsi="宋体" w:eastAsia="宋体" w:cs="Times New Roman"/>
                <w:sz w:val="24"/>
              </w:rPr>
              <w:t>专业基础课</w:t>
            </w: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人体解剖学</w:t>
            </w:r>
          </w:p>
        </w:tc>
        <w:tc>
          <w:tcPr>
            <w:tcW w:w="1738" w:type="dxa"/>
            <w:tcBorders>
              <w:top w:val="nil"/>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top w:val="single" w:color="auto" w:sz="4" w:space="0"/>
              <w:bottom w:val="single" w:color="auto" w:sz="4" w:space="0"/>
              <w:right w:val="single" w:color="auto" w:sz="4" w:space="0"/>
            </w:tcBorders>
            <w:noWrap/>
            <w:vAlign w:val="center"/>
          </w:tcPr>
          <w:p>
            <w:pPr>
              <w:spacing w:line="360" w:lineRule="auto"/>
              <w:jc w:val="center"/>
              <w:rPr>
                <w:rFonts w:ascii="宋体" w:hAnsi="宋体" w:eastAsia="宋体" w:cs="宋体"/>
                <w:kern w:val="0"/>
                <w:sz w:val="24"/>
              </w:rPr>
            </w:pPr>
          </w:p>
        </w:tc>
        <w:tc>
          <w:tcPr>
            <w:tcW w:w="6216" w:type="dxa"/>
            <w:tcBorders>
              <w:top w:val="nil"/>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生理学</w:t>
            </w:r>
          </w:p>
        </w:tc>
        <w:tc>
          <w:tcPr>
            <w:tcW w:w="1738" w:type="dxa"/>
            <w:tcBorders>
              <w:top w:val="nil"/>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top w:val="single" w:color="auto" w:sz="4" w:space="0"/>
              <w:bottom w:val="single" w:color="auto" w:sz="4" w:space="0"/>
              <w:right w:val="single" w:color="auto" w:sz="4" w:space="0"/>
            </w:tcBorders>
            <w:noWrap/>
            <w:vAlign w:val="center"/>
          </w:tcPr>
          <w:p>
            <w:pPr>
              <w:spacing w:line="360" w:lineRule="auto"/>
              <w:jc w:val="center"/>
              <w:rPr>
                <w:rFonts w:ascii="宋体" w:hAnsi="宋体" w:eastAsia="宋体" w:cs="宋体"/>
                <w:kern w:val="0"/>
                <w:sz w:val="24"/>
              </w:rPr>
            </w:pPr>
          </w:p>
        </w:tc>
        <w:tc>
          <w:tcPr>
            <w:tcW w:w="6216" w:type="dxa"/>
            <w:tcBorders>
              <w:top w:val="nil"/>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病理学</w:t>
            </w:r>
          </w:p>
        </w:tc>
        <w:tc>
          <w:tcPr>
            <w:tcW w:w="1738" w:type="dxa"/>
            <w:tcBorders>
              <w:top w:val="nil"/>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top w:val="single" w:color="auto" w:sz="4" w:space="0"/>
              <w:bottom w:val="single" w:color="auto" w:sz="4" w:space="0"/>
              <w:right w:val="single" w:color="auto" w:sz="4" w:space="0"/>
            </w:tcBorders>
            <w:noWrap/>
            <w:vAlign w:val="center"/>
          </w:tcPr>
          <w:p>
            <w:pPr>
              <w:spacing w:line="360" w:lineRule="auto"/>
              <w:jc w:val="center"/>
              <w:rPr>
                <w:rFonts w:ascii="宋体" w:hAnsi="宋体" w:eastAsia="宋体" w:cs="宋体"/>
                <w:kern w:val="0"/>
                <w:sz w:val="24"/>
              </w:rPr>
            </w:pPr>
          </w:p>
        </w:tc>
        <w:tc>
          <w:tcPr>
            <w:tcW w:w="6216" w:type="dxa"/>
            <w:tcBorders>
              <w:top w:val="nil"/>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药理学</w:t>
            </w:r>
          </w:p>
        </w:tc>
        <w:tc>
          <w:tcPr>
            <w:tcW w:w="1738" w:type="dxa"/>
            <w:tcBorders>
              <w:top w:val="nil"/>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top w:val="single" w:color="auto" w:sz="4" w:space="0"/>
              <w:bottom w:val="single" w:color="auto" w:sz="4" w:space="0"/>
              <w:right w:val="single" w:color="auto" w:sz="4" w:space="0"/>
            </w:tcBorders>
            <w:noWrap/>
            <w:vAlign w:val="center"/>
          </w:tcPr>
          <w:p>
            <w:pPr>
              <w:spacing w:line="360" w:lineRule="auto"/>
              <w:jc w:val="center"/>
              <w:rPr>
                <w:rFonts w:ascii="宋体" w:hAnsi="宋体" w:eastAsia="宋体" w:cs="宋体"/>
                <w:kern w:val="0"/>
                <w:sz w:val="24"/>
              </w:rPr>
            </w:pPr>
          </w:p>
        </w:tc>
        <w:tc>
          <w:tcPr>
            <w:tcW w:w="6216" w:type="dxa"/>
            <w:tcBorders>
              <w:top w:val="nil"/>
              <w:left w:val="single" w:color="auto" w:sz="4" w:space="0"/>
              <w:bottom w:val="single" w:color="auto" w:sz="8" w:space="0"/>
              <w:right w:val="single" w:color="auto" w:sz="8" w:space="0"/>
            </w:tcBorders>
            <w:noWrap/>
          </w:tcPr>
          <w:p>
            <w:pPr>
              <w:spacing w:line="360" w:lineRule="auto"/>
              <w:jc w:val="center"/>
              <w:rPr>
                <w:rFonts w:hint="default" w:eastAsiaTheme="minorEastAsia"/>
                <w:sz w:val="24"/>
                <w:lang w:val="en-US" w:eastAsia="zh-CN"/>
              </w:rPr>
            </w:pPr>
            <w:r>
              <w:rPr>
                <w:rFonts w:hint="eastAsia"/>
                <w:sz w:val="24"/>
                <w:lang w:val="en-US" w:eastAsia="zh-CN"/>
              </w:rPr>
              <w:t>中医基础理论</w:t>
            </w:r>
          </w:p>
        </w:tc>
        <w:tc>
          <w:tcPr>
            <w:tcW w:w="1738" w:type="dxa"/>
            <w:tcBorders>
              <w:top w:val="nil"/>
              <w:left w:val="nil"/>
              <w:bottom w:val="single" w:color="auto" w:sz="8" w:space="0"/>
            </w:tcBorders>
          </w:tcPr>
          <w:p>
            <w:pPr>
              <w:spacing w:line="360" w:lineRule="auto"/>
              <w:jc w:val="center"/>
              <w:rPr>
                <w:rFonts w:hint="eastAsia" w:ascii="宋体" w:hAnsi="宋体" w:eastAsia="宋体"/>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top w:val="single" w:color="auto" w:sz="4" w:space="0"/>
              <w:bottom w:val="single" w:color="auto" w:sz="4" w:space="0"/>
              <w:right w:val="single" w:color="auto" w:sz="4" w:space="0"/>
            </w:tcBorders>
            <w:noWrap/>
            <w:vAlign w:val="center"/>
          </w:tcPr>
          <w:p>
            <w:pPr>
              <w:spacing w:line="360" w:lineRule="auto"/>
              <w:jc w:val="center"/>
              <w:rPr>
                <w:rFonts w:ascii="宋体" w:hAnsi="宋体" w:eastAsia="宋体" w:cs="宋体"/>
                <w:kern w:val="0"/>
                <w:sz w:val="24"/>
              </w:rPr>
            </w:pPr>
          </w:p>
        </w:tc>
        <w:tc>
          <w:tcPr>
            <w:tcW w:w="6216" w:type="dxa"/>
            <w:tcBorders>
              <w:top w:val="nil"/>
              <w:left w:val="single" w:color="auto" w:sz="4" w:space="0"/>
              <w:bottom w:val="single" w:color="auto" w:sz="8" w:space="0"/>
              <w:right w:val="single" w:color="auto" w:sz="8" w:space="0"/>
            </w:tcBorders>
            <w:noWrap/>
          </w:tcPr>
          <w:p>
            <w:pPr>
              <w:spacing w:line="360" w:lineRule="auto"/>
              <w:jc w:val="center"/>
              <w:rPr>
                <w:rFonts w:hint="default" w:eastAsiaTheme="minorEastAsia"/>
                <w:sz w:val="24"/>
                <w:lang w:val="en-US" w:eastAsia="zh-CN"/>
              </w:rPr>
            </w:pPr>
            <w:r>
              <w:rPr>
                <w:rFonts w:hint="eastAsia"/>
                <w:sz w:val="24"/>
                <w:lang w:val="en-US" w:eastAsia="zh-CN"/>
              </w:rPr>
              <w:t>中医诊断学</w:t>
            </w:r>
          </w:p>
        </w:tc>
        <w:tc>
          <w:tcPr>
            <w:tcW w:w="1738" w:type="dxa"/>
            <w:tcBorders>
              <w:top w:val="nil"/>
              <w:left w:val="nil"/>
              <w:bottom w:val="single" w:color="auto" w:sz="8" w:space="0"/>
            </w:tcBorders>
          </w:tcPr>
          <w:p>
            <w:pPr>
              <w:spacing w:line="360" w:lineRule="auto"/>
              <w:jc w:val="center"/>
              <w:rPr>
                <w:rFonts w:hint="eastAsia" w:ascii="宋体" w:hAnsi="宋体" w:eastAsia="宋体"/>
                <w:sz w:val="24"/>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top w:val="single" w:color="auto" w:sz="4" w:space="0"/>
              <w:bottom w:val="single" w:color="auto" w:sz="4" w:space="0"/>
              <w:right w:val="single" w:color="auto" w:sz="4" w:space="0"/>
            </w:tcBorders>
            <w:noWrap/>
            <w:vAlign w:val="center"/>
          </w:tcPr>
          <w:p>
            <w:pPr>
              <w:spacing w:line="360" w:lineRule="auto"/>
              <w:jc w:val="center"/>
              <w:rPr>
                <w:rFonts w:ascii="宋体" w:hAnsi="宋体" w:eastAsia="宋体" w:cs="宋体"/>
                <w:kern w:val="0"/>
                <w:sz w:val="24"/>
              </w:rPr>
            </w:pPr>
          </w:p>
        </w:tc>
        <w:tc>
          <w:tcPr>
            <w:tcW w:w="6216" w:type="dxa"/>
            <w:tcBorders>
              <w:top w:val="nil"/>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中药学</w:t>
            </w:r>
          </w:p>
        </w:tc>
        <w:tc>
          <w:tcPr>
            <w:tcW w:w="1738" w:type="dxa"/>
            <w:tcBorders>
              <w:top w:val="nil"/>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top w:val="single" w:color="auto" w:sz="4" w:space="0"/>
              <w:bottom w:val="single" w:color="auto" w:sz="4" w:space="0"/>
              <w:right w:val="single" w:color="auto" w:sz="4" w:space="0"/>
            </w:tcBorders>
            <w:noWrap/>
            <w:vAlign w:val="center"/>
          </w:tcPr>
          <w:p>
            <w:pPr>
              <w:spacing w:line="360" w:lineRule="auto"/>
              <w:jc w:val="center"/>
              <w:rPr>
                <w:rFonts w:ascii="宋体" w:hAnsi="宋体" w:eastAsia="宋体" w:cs="宋体"/>
                <w:kern w:val="0"/>
                <w:sz w:val="24"/>
              </w:rPr>
            </w:pPr>
          </w:p>
        </w:tc>
        <w:tc>
          <w:tcPr>
            <w:tcW w:w="6216" w:type="dxa"/>
            <w:tcBorders>
              <w:top w:val="nil"/>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方剂学</w:t>
            </w:r>
          </w:p>
        </w:tc>
        <w:tc>
          <w:tcPr>
            <w:tcW w:w="1738" w:type="dxa"/>
            <w:tcBorders>
              <w:top w:val="nil"/>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restart"/>
            <w:tcBorders>
              <w:top w:val="single" w:color="auto" w:sz="4" w:space="0"/>
              <w:right w:val="single" w:color="auto" w:sz="4" w:space="0"/>
            </w:tcBorders>
            <w:noWrap/>
            <w:vAlign w:val="center"/>
          </w:tcPr>
          <w:p>
            <w:pPr>
              <w:spacing w:line="360" w:lineRule="auto"/>
              <w:jc w:val="center"/>
              <w:rPr>
                <w:rFonts w:ascii="宋体" w:hAnsi="宋体" w:eastAsia="宋体" w:cs="宋体"/>
                <w:kern w:val="0"/>
                <w:sz w:val="24"/>
              </w:rPr>
            </w:pPr>
            <w:r>
              <w:rPr>
                <w:rFonts w:hint="eastAsia" w:ascii="宋体" w:hAnsi="宋体" w:eastAsia="宋体" w:cs="宋体"/>
                <w:kern w:val="0"/>
                <w:sz w:val="24"/>
              </w:rPr>
              <w:t>专业核心课</w:t>
            </w:r>
          </w:p>
        </w:tc>
        <w:tc>
          <w:tcPr>
            <w:tcW w:w="6216" w:type="dxa"/>
            <w:tcBorders>
              <w:top w:val="nil"/>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针灸学</w:t>
            </w:r>
          </w:p>
        </w:tc>
        <w:tc>
          <w:tcPr>
            <w:tcW w:w="1738" w:type="dxa"/>
            <w:tcBorders>
              <w:top w:val="nil"/>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spacing w:line="360" w:lineRule="auto"/>
              <w:rPr>
                <w:rFonts w:ascii="宋体" w:hAnsi="宋体" w:eastAsia="宋体" w:cs="宋体"/>
                <w:kern w:val="0"/>
                <w:sz w:val="24"/>
              </w:rPr>
            </w:pPr>
          </w:p>
        </w:tc>
        <w:tc>
          <w:tcPr>
            <w:tcW w:w="6216" w:type="dxa"/>
            <w:tcBorders>
              <w:top w:val="nil"/>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推拿学</w:t>
            </w:r>
          </w:p>
        </w:tc>
        <w:tc>
          <w:tcPr>
            <w:tcW w:w="1738" w:type="dxa"/>
            <w:tcBorders>
              <w:top w:val="nil"/>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spacing w:line="360" w:lineRule="auto"/>
              <w:rPr>
                <w:rFonts w:ascii="宋体" w:hAnsi="宋体" w:eastAsia="宋体" w:cs="宋体"/>
                <w:kern w:val="0"/>
                <w:sz w:val="24"/>
              </w:rPr>
            </w:pPr>
          </w:p>
        </w:tc>
        <w:tc>
          <w:tcPr>
            <w:tcW w:w="6216" w:type="dxa"/>
            <w:tcBorders>
              <w:top w:val="nil"/>
              <w:left w:val="single" w:color="auto" w:sz="4" w:space="0"/>
              <w:bottom w:val="single" w:color="auto" w:sz="4" w:space="0"/>
              <w:right w:val="single" w:color="auto" w:sz="8" w:space="0"/>
            </w:tcBorders>
            <w:noWrap/>
            <w:vAlign w:val="top"/>
          </w:tcPr>
          <w:p>
            <w:pPr>
              <w:spacing w:line="360" w:lineRule="auto"/>
              <w:jc w:val="center"/>
              <w:rPr>
                <w:rFonts w:asciiTheme="minorHAnsi" w:hAnsiTheme="minorHAnsi" w:eastAsiaTheme="minorEastAsia" w:cstheme="minorBidi"/>
                <w:kern w:val="2"/>
                <w:sz w:val="24"/>
                <w:szCs w:val="24"/>
                <w:lang w:val="en-US" w:eastAsia="zh-CN" w:bidi="ar-SA"/>
              </w:rPr>
            </w:pPr>
            <w:r>
              <w:rPr>
                <w:rFonts w:hint="eastAsia"/>
                <w:sz w:val="24"/>
              </w:rPr>
              <w:t>中医内科学</w:t>
            </w:r>
          </w:p>
        </w:tc>
        <w:tc>
          <w:tcPr>
            <w:tcW w:w="1738" w:type="dxa"/>
            <w:tcBorders>
              <w:top w:val="nil"/>
              <w:left w:val="nil"/>
              <w:bottom w:val="single" w:color="auto" w:sz="4"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vAlign w:val="top"/>
          </w:tcPr>
          <w:p>
            <w:pPr>
              <w:spacing w:line="360" w:lineRule="auto"/>
              <w:jc w:val="center"/>
              <w:rPr>
                <w:rFonts w:asciiTheme="minorHAnsi" w:hAnsiTheme="minorHAnsi" w:eastAsiaTheme="minorEastAsia" w:cstheme="minorBidi"/>
                <w:kern w:val="2"/>
                <w:sz w:val="24"/>
                <w:szCs w:val="24"/>
                <w:lang w:val="en-US" w:eastAsia="zh-CN" w:bidi="ar-SA"/>
              </w:rPr>
            </w:pPr>
            <w:r>
              <w:rPr>
                <w:rFonts w:hint="eastAsia"/>
                <w:sz w:val="24"/>
              </w:rPr>
              <w:t>中医外科学</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vAlign w:val="top"/>
          </w:tcPr>
          <w:p>
            <w:pPr>
              <w:spacing w:line="360" w:lineRule="auto"/>
              <w:jc w:val="center"/>
              <w:rPr>
                <w:rFonts w:asciiTheme="minorHAnsi" w:hAnsiTheme="minorHAnsi" w:eastAsiaTheme="minorEastAsia" w:cstheme="minorBidi"/>
                <w:kern w:val="2"/>
                <w:sz w:val="24"/>
                <w:szCs w:val="24"/>
                <w:lang w:val="en-US" w:eastAsia="zh-CN" w:bidi="ar-SA"/>
              </w:rPr>
            </w:pPr>
            <w:r>
              <w:rPr>
                <w:rFonts w:hint="eastAsia"/>
                <w:sz w:val="24"/>
              </w:rPr>
              <w:t>中医妇科学</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vAlign w:val="top"/>
          </w:tcPr>
          <w:p>
            <w:pPr>
              <w:spacing w:line="360" w:lineRule="auto"/>
              <w:jc w:val="center"/>
              <w:rPr>
                <w:rFonts w:asciiTheme="minorHAnsi" w:hAnsiTheme="minorHAnsi" w:eastAsiaTheme="minorEastAsia" w:cstheme="minorBidi"/>
                <w:kern w:val="2"/>
                <w:sz w:val="24"/>
                <w:szCs w:val="24"/>
                <w:lang w:val="en-US" w:eastAsia="zh-CN" w:bidi="ar-SA"/>
              </w:rPr>
            </w:pPr>
            <w:r>
              <w:rPr>
                <w:rFonts w:hint="eastAsia"/>
                <w:sz w:val="24"/>
              </w:rPr>
              <w:t>中医儿科学</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vAlign w:val="top"/>
          </w:tcPr>
          <w:p>
            <w:pPr>
              <w:spacing w:line="360" w:lineRule="auto"/>
              <w:jc w:val="center"/>
              <w:rPr>
                <w:rFonts w:asciiTheme="minorHAnsi" w:hAnsiTheme="minorHAnsi" w:eastAsiaTheme="minorEastAsia" w:cstheme="minorBidi"/>
                <w:kern w:val="2"/>
                <w:sz w:val="24"/>
                <w:szCs w:val="24"/>
                <w:lang w:val="en-US" w:eastAsia="zh-CN" w:bidi="ar-SA"/>
              </w:rPr>
            </w:pPr>
            <w:r>
              <w:rPr>
                <w:rFonts w:hint="eastAsia"/>
                <w:sz w:val="24"/>
              </w:rPr>
              <w:t>诊断学基础</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vAlign w:val="top"/>
          </w:tcPr>
          <w:p>
            <w:pPr>
              <w:spacing w:line="360" w:lineRule="auto"/>
              <w:jc w:val="center"/>
              <w:rPr>
                <w:rFonts w:asciiTheme="minorHAnsi" w:hAnsiTheme="minorHAnsi" w:eastAsiaTheme="minorEastAsia" w:cstheme="minorBidi"/>
                <w:kern w:val="2"/>
                <w:sz w:val="24"/>
                <w:szCs w:val="24"/>
                <w:lang w:val="en-US" w:eastAsia="zh-CN" w:bidi="ar-SA"/>
              </w:rPr>
            </w:pPr>
            <w:r>
              <w:rPr>
                <w:rFonts w:hint="eastAsia"/>
                <w:sz w:val="24"/>
              </w:rPr>
              <w:t>内科学</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综合技能训练</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hint="default" w:eastAsiaTheme="minorEastAsia"/>
                <w:sz w:val="24"/>
                <w:lang w:val="en-US" w:eastAsia="zh-CN"/>
              </w:rPr>
            </w:pPr>
            <w:r>
              <w:rPr>
                <w:rFonts w:hint="eastAsia"/>
                <w:sz w:val="24"/>
                <w:lang w:val="en-US" w:eastAsia="zh-CN"/>
              </w:rPr>
              <w:t>岗位实习</w:t>
            </w:r>
          </w:p>
        </w:tc>
        <w:tc>
          <w:tcPr>
            <w:tcW w:w="1738" w:type="dxa"/>
            <w:tcBorders>
              <w:top w:val="single" w:color="auto" w:sz="4" w:space="0"/>
              <w:left w:val="nil"/>
              <w:bottom w:val="single" w:color="auto" w:sz="8" w:space="0"/>
            </w:tcBorders>
          </w:tcPr>
          <w:p>
            <w:pPr>
              <w:spacing w:line="360" w:lineRule="auto"/>
              <w:jc w:val="center"/>
              <w:rPr>
                <w:rFonts w:hint="eastAsia" w:ascii="宋体" w:hAnsi="宋体" w:eastAsia="宋体"/>
                <w:sz w:val="24"/>
                <w:lang w:val="en-US" w:eastAsia="zh-CN"/>
              </w:rPr>
            </w:pPr>
            <w:r>
              <w:rPr>
                <w:rFonts w:hint="eastAsia" w:ascii="宋体" w:hAnsi="宋体" w:eastAsia="宋体"/>
                <w:sz w:val="24"/>
                <w:lang w:val="en-US" w:eastAsia="zh-CN"/>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bottom w:val="single" w:color="auto" w:sz="4" w:space="0"/>
              <w:right w:val="single" w:color="auto" w:sz="4" w:space="0"/>
            </w:tcBorders>
            <w:noWrap/>
            <w:vAlign w:val="center"/>
          </w:tcPr>
          <w:p>
            <w:pPr>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hint="default" w:eastAsiaTheme="minorEastAsia"/>
                <w:sz w:val="24"/>
                <w:lang w:val="en-US" w:eastAsia="zh-CN"/>
              </w:rPr>
            </w:pPr>
            <w:r>
              <w:rPr>
                <w:rFonts w:hint="eastAsia"/>
                <w:sz w:val="24"/>
                <w:lang w:val="en-US" w:eastAsia="zh-CN"/>
              </w:rPr>
              <w:t>毕业考试</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必修课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restart"/>
            <w:tcBorders>
              <w:top w:val="single" w:color="auto" w:sz="4" w:space="0"/>
              <w:right w:val="single" w:color="auto" w:sz="4" w:space="0"/>
            </w:tcBorders>
            <w:noWrap/>
            <w:vAlign w:val="center"/>
          </w:tcPr>
          <w:p>
            <w:pPr>
              <w:spacing w:line="360" w:lineRule="auto"/>
              <w:jc w:val="center"/>
              <w:rPr>
                <w:rFonts w:ascii="宋体" w:hAnsi="宋体" w:eastAsia="宋体" w:cs="宋体"/>
                <w:kern w:val="0"/>
                <w:sz w:val="24"/>
              </w:rPr>
            </w:pPr>
            <w:r>
              <w:rPr>
                <w:rFonts w:hint="eastAsia" w:ascii="宋体" w:hAnsi="宋体" w:eastAsia="宋体" w:cs="宋体"/>
                <w:kern w:val="0"/>
                <w:sz w:val="24"/>
              </w:rPr>
              <w:t>选修课</w:t>
            </w: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医学伦理学</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卫生法律法规</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传染病学</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中医</w:t>
            </w:r>
            <w:r>
              <w:rPr>
                <w:rFonts w:hint="eastAsia"/>
                <w:sz w:val="24"/>
                <w:lang w:val="en-US" w:eastAsia="zh-CN"/>
              </w:rPr>
              <w:t>骨</w:t>
            </w:r>
            <w:r>
              <w:rPr>
                <w:rFonts w:hint="eastAsia"/>
                <w:sz w:val="24"/>
              </w:rPr>
              <w:t>伤科学</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hint="default" w:eastAsiaTheme="minorEastAsia"/>
                <w:sz w:val="24"/>
                <w:lang w:val="en-US" w:eastAsia="zh-CN"/>
              </w:rPr>
            </w:pPr>
            <w:r>
              <w:rPr>
                <w:rFonts w:hint="eastAsia"/>
                <w:sz w:val="24"/>
                <w:lang w:val="en-US" w:eastAsia="zh-CN"/>
              </w:rPr>
              <w:t>运动治疗技术</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hint="default"/>
                <w:sz w:val="24"/>
                <w:lang w:val="en-US" w:eastAsia="zh-CN"/>
              </w:rPr>
            </w:pPr>
            <w:r>
              <w:rPr>
                <w:rFonts w:hint="eastAsia"/>
                <w:sz w:val="24"/>
              </w:rPr>
              <w:t>小儿推拿</w:t>
            </w:r>
          </w:p>
        </w:tc>
        <w:tc>
          <w:tcPr>
            <w:tcW w:w="1738" w:type="dxa"/>
            <w:tcBorders>
              <w:top w:val="single" w:color="auto" w:sz="4" w:space="0"/>
              <w:left w:val="nil"/>
              <w:bottom w:val="single" w:color="auto" w:sz="8" w:space="0"/>
            </w:tcBorders>
          </w:tcPr>
          <w:p>
            <w:pPr>
              <w:spacing w:line="360" w:lineRule="auto"/>
              <w:jc w:val="center"/>
              <w:rPr>
                <w:rFonts w:hint="eastAsia" w:ascii="宋体" w:hAnsi="宋体" w:eastAsia="宋体"/>
                <w:sz w:val="24"/>
              </w:rP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sz w:val="24"/>
              </w:rPr>
            </w:pPr>
            <w:r>
              <w:rPr>
                <w:rFonts w:hint="eastAsia"/>
                <w:sz w:val="24"/>
              </w:rPr>
              <w:t>急救医学</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sz w:val="24"/>
              </w:rPr>
            </w:pPr>
            <w:r>
              <w:rPr>
                <w:rFonts w:hint="eastAsia"/>
                <w:sz w:val="24"/>
                <w:lang w:val="en-US" w:eastAsia="zh-CN"/>
              </w:rPr>
              <w:t>作业治疗技术</w:t>
            </w:r>
          </w:p>
        </w:tc>
        <w:tc>
          <w:tcPr>
            <w:tcW w:w="1738" w:type="dxa"/>
            <w:tcBorders>
              <w:top w:val="single" w:color="auto" w:sz="4" w:space="0"/>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hint="default"/>
                <w:sz w:val="24"/>
                <w:lang w:val="en-US" w:eastAsia="zh-CN"/>
              </w:rPr>
            </w:pPr>
            <w:r>
              <w:rPr>
                <w:rFonts w:hint="eastAsia"/>
                <w:sz w:val="24"/>
                <w:lang w:val="en-US" w:eastAsia="zh-CN"/>
              </w:rPr>
              <w:t>性与生殖健康</w:t>
            </w:r>
          </w:p>
        </w:tc>
        <w:tc>
          <w:tcPr>
            <w:tcW w:w="1738" w:type="dxa"/>
            <w:tcBorders>
              <w:top w:val="single" w:color="auto" w:sz="4" w:space="0"/>
              <w:left w:val="nil"/>
              <w:bottom w:val="single" w:color="auto" w:sz="8" w:space="0"/>
            </w:tcBorders>
          </w:tcPr>
          <w:p>
            <w:pPr>
              <w:spacing w:line="360" w:lineRule="auto"/>
              <w:jc w:val="center"/>
              <w:rPr>
                <w:rFonts w:hint="eastAsia" w:ascii="宋体" w:hAnsi="宋体" w:eastAsia="宋体"/>
                <w:sz w:val="24"/>
              </w:rP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hint="default"/>
                <w:sz w:val="24"/>
                <w:lang w:val="en-US" w:eastAsia="zh-CN"/>
              </w:rPr>
            </w:pPr>
            <w:r>
              <w:rPr>
                <w:rFonts w:hint="eastAsia"/>
                <w:sz w:val="24"/>
                <w:lang w:val="en-US" w:eastAsia="zh-CN"/>
              </w:rPr>
              <w:t>营养配餐和烹饪</w:t>
            </w:r>
          </w:p>
        </w:tc>
        <w:tc>
          <w:tcPr>
            <w:tcW w:w="1738" w:type="dxa"/>
            <w:tcBorders>
              <w:top w:val="single" w:color="auto" w:sz="4" w:space="0"/>
              <w:left w:val="nil"/>
              <w:bottom w:val="single" w:color="auto" w:sz="8" w:space="0"/>
            </w:tcBorders>
          </w:tcPr>
          <w:p>
            <w:pPr>
              <w:spacing w:line="360" w:lineRule="auto"/>
              <w:jc w:val="center"/>
              <w:rPr>
                <w:rFonts w:hint="eastAsia" w:ascii="宋体" w:hAnsi="宋体" w:eastAsia="宋体"/>
                <w:sz w:val="24"/>
              </w:rP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中医药与中华传统文化</w:t>
            </w:r>
          </w:p>
        </w:tc>
        <w:tc>
          <w:tcPr>
            <w:tcW w:w="1738" w:type="dxa"/>
            <w:tcBorders>
              <w:top w:val="single" w:color="auto" w:sz="4" w:space="0"/>
              <w:left w:val="nil"/>
              <w:bottom w:val="single" w:color="auto" w:sz="8" w:space="0"/>
            </w:tcBorders>
          </w:tcPr>
          <w:p>
            <w:pPr>
              <w:spacing w:line="360" w:lineRule="auto"/>
              <w:jc w:val="center"/>
              <w:rPr>
                <w:rFonts w:ascii="宋体" w:hAnsi="宋体" w:eastAsia="宋体"/>
                <w:sz w:val="24"/>
              </w:rP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hint="eastAsia" w:ascii="宋体" w:hAnsi="宋体" w:eastAsia="宋体"/>
                <w:sz w:val="24"/>
                <w:lang w:eastAsia="zh-CN"/>
              </w:rPr>
            </w:pPr>
            <w:r>
              <w:rPr>
                <w:rFonts w:hint="eastAsia" w:ascii="宋体" w:hAnsi="宋体" w:eastAsia="宋体"/>
                <w:sz w:val="24"/>
                <w:lang w:val="en-US" w:eastAsia="zh-CN"/>
              </w:rPr>
              <w:t>医患沟通</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双创训练营</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hint="default" w:ascii="宋体" w:hAnsi="宋体" w:eastAsia="宋体"/>
                <w:sz w:val="24"/>
                <w:lang w:val="en-US" w:eastAsia="zh-CN"/>
              </w:rPr>
            </w:pPr>
            <w:r>
              <w:rPr>
                <w:rFonts w:hint="eastAsia" w:ascii="宋体" w:hAnsi="宋体" w:eastAsia="宋体"/>
                <w:sz w:val="24"/>
                <w:lang w:val="en-US" w:eastAsia="zh-CN"/>
              </w:rPr>
              <w:t>应用写作</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bottom w:val="single" w:color="auto" w:sz="8" w:space="0"/>
              <w:right w:val="single" w:color="auto" w:sz="8" w:space="0"/>
            </w:tcBorders>
            <w:noWrap/>
          </w:tcPr>
          <w:p>
            <w:pPr>
              <w:spacing w:line="360" w:lineRule="auto"/>
              <w:jc w:val="center"/>
              <w:rPr>
                <w:rFonts w:ascii="宋体" w:hAnsi="宋体" w:eastAsia="宋体"/>
                <w:sz w:val="24"/>
              </w:rPr>
            </w:pPr>
            <w:r>
              <w:rPr>
                <w:rFonts w:hint="eastAsia" w:ascii="宋体" w:hAnsi="宋体" w:eastAsia="宋体"/>
                <w:sz w:val="24"/>
              </w:rPr>
              <w:t>经典诵读</w:t>
            </w:r>
          </w:p>
        </w:tc>
        <w:tc>
          <w:tcPr>
            <w:tcW w:w="1738" w:type="dxa"/>
            <w:tcBorders>
              <w:top w:val="single" w:color="auto" w:sz="4" w:space="0"/>
              <w:left w:val="nil"/>
              <w:bottom w:val="single" w:color="auto" w:sz="8" w:space="0"/>
            </w:tcBorders>
          </w:tcPr>
          <w:p>
            <w:pPr>
              <w:spacing w:line="360" w:lineRule="auto"/>
              <w:jc w:val="center"/>
            </w:pPr>
            <w:r>
              <w:rPr>
                <w:rFonts w:hint="eastAsia" w:ascii="宋体" w:hAnsi="宋体" w:eastAsia="宋体"/>
                <w:sz w:val="24"/>
              </w:rPr>
              <w:t>选修课</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312" w:hRule="atLeast"/>
        </w:trPr>
        <w:tc>
          <w:tcPr>
            <w:tcW w:w="1900" w:type="dxa"/>
            <w:vMerge w:val="continue"/>
            <w:tcBorders>
              <w:right w:val="single" w:color="auto" w:sz="4" w:space="0"/>
            </w:tcBorders>
            <w:noWrap/>
            <w:vAlign w:val="center"/>
          </w:tcPr>
          <w:p>
            <w:pPr>
              <w:widowControl/>
              <w:spacing w:line="360" w:lineRule="auto"/>
              <w:rPr>
                <w:rFonts w:ascii="宋体" w:hAnsi="宋体" w:eastAsia="宋体" w:cs="宋体"/>
                <w:kern w:val="0"/>
                <w:sz w:val="24"/>
              </w:rPr>
            </w:pPr>
          </w:p>
        </w:tc>
        <w:tc>
          <w:tcPr>
            <w:tcW w:w="6216" w:type="dxa"/>
            <w:tcBorders>
              <w:top w:val="single" w:color="auto" w:sz="4" w:space="0"/>
              <w:left w:val="single" w:color="auto" w:sz="4" w:space="0"/>
              <w:right w:val="single" w:color="auto" w:sz="8" w:space="0"/>
            </w:tcBorders>
            <w:noWrap/>
            <w:vAlign w:val="center"/>
          </w:tcPr>
          <w:p>
            <w:pPr>
              <w:keepNext w:val="0"/>
              <w:keepLines w:val="0"/>
              <w:widowControl/>
              <w:suppressLineNumbers w:val="0"/>
              <w:jc w:val="center"/>
              <w:textAlignment w:val="center"/>
              <w:rPr>
                <w:rFonts w:ascii="宋体" w:hAnsi="宋体" w:eastAsia="宋体"/>
                <w:color w:val="auto"/>
                <w:sz w:val="24"/>
              </w:rPr>
            </w:pPr>
            <w:r>
              <w:rPr>
                <w:rFonts w:hint="eastAsia" w:ascii="宋体" w:hAnsi="宋体" w:eastAsia="宋体"/>
                <w:sz w:val="24"/>
                <w:lang w:val="en-US" w:eastAsia="zh-CN"/>
              </w:rPr>
              <w:t>社会学</w:t>
            </w:r>
          </w:p>
        </w:tc>
        <w:tc>
          <w:tcPr>
            <w:tcW w:w="1738" w:type="dxa"/>
            <w:tcBorders>
              <w:top w:val="single" w:color="auto" w:sz="4" w:space="0"/>
              <w:left w:val="nil"/>
            </w:tcBorders>
          </w:tcPr>
          <w:p>
            <w:pPr>
              <w:spacing w:line="360" w:lineRule="auto"/>
              <w:jc w:val="center"/>
            </w:pPr>
            <w:r>
              <w:rPr>
                <w:rFonts w:hint="eastAsia" w:ascii="宋体" w:hAnsi="宋体" w:eastAsia="宋体"/>
                <w:sz w:val="24"/>
              </w:rPr>
              <w:t>选修课</w:t>
            </w:r>
          </w:p>
        </w:tc>
      </w:tr>
    </w:tbl>
    <w:p>
      <w:pPr>
        <w:spacing w:line="360" w:lineRule="auto"/>
        <w:ind w:firstLine="482" w:firstLineChars="200"/>
        <w:rPr>
          <w:rFonts w:ascii="宋体" w:hAnsi="宋体" w:eastAsia="宋体" w:cs="宋体"/>
          <w:b/>
          <w:bCs/>
          <w:color w:val="000000"/>
          <w:sz w:val="24"/>
        </w:rPr>
      </w:pPr>
      <w:r>
        <w:rPr>
          <w:rFonts w:hint="eastAsia" w:ascii="宋体" w:hAnsi="宋体"/>
          <w:b/>
          <w:bCs/>
          <w:sz w:val="24"/>
        </w:rPr>
        <w:t>（一）公共课模块（学时6</w:t>
      </w:r>
      <w:r>
        <w:rPr>
          <w:rFonts w:hint="eastAsia" w:ascii="宋体" w:hAnsi="宋体"/>
          <w:b/>
          <w:bCs/>
          <w:sz w:val="24"/>
          <w:lang w:val="en-US" w:eastAsia="zh-CN"/>
        </w:rPr>
        <w:t>72</w:t>
      </w:r>
      <w:r>
        <w:rPr>
          <w:rFonts w:hint="eastAsia" w:ascii="宋体" w:hAnsi="宋体"/>
          <w:b/>
          <w:bCs/>
          <w:sz w:val="24"/>
        </w:rPr>
        <w:t>，学分3</w:t>
      </w:r>
      <w:r>
        <w:rPr>
          <w:rFonts w:hint="eastAsia" w:ascii="宋体" w:hAnsi="宋体"/>
          <w:b/>
          <w:bCs/>
          <w:sz w:val="24"/>
          <w:lang w:val="en-US" w:eastAsia="zh-CN"/>
        </w:rPr>
        <w:t>6</w:t>
      </w:r>
      <w:r>
        <w:rPr>
          <w:rFonts w:hint="eastAsia" w:ascii="宋体" w:hAnsi="宋体"/>
          <w:b/>
          <w:bCs/>
          <w:sz w:val="24"/>
        </w:rPr>
        <w:t>）</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1.《军事理论与军事技能》（148学时，4.0学分）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通过军事课教学和军事技能训练，使大学生掌握基本军事理论和军事技能，达到增强国防观念和国家安全意识，强化爱国主义、集体主义观念，加强组织纪律性，促进大学生综合素质的提高，为中国人民解放军训练后备兵员和培养预备役军官打下坚实基础的目的。</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color w:val="000000"/>
          <w:sz w:val="24"/>
          <w:lang w:eastAsia="zh-CN"/>
        </w:rPr>
        <w:t>思想道德与法治</w:t>
      </w:r>
      <w:r>
        <w:rPr>
          <w:rFonts w:hint="eastAsia" w:ascii="宋体" w:hAnsi="宋体" w:eastAsia="宋体" w:cs="宋体"/>
          <w:color w:val="000000"/>
          <w:sz w:val="24"/>
        </w:rPr>
        <w:t>》（48学时，3.0学分）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是高校思想政治理论课的必修课程，本课程以马克思主义为指导，以习近平新时代中国特色社会主义思想为价值取向，以正确的世界观、人生观、价值观和道德观、法制观教育为主要内容，把社会主义核心价值观贯穿教学的全过程，通过理论学习和实践体验，帮助学生形成崇高的理想信念，弘扬伟大的爱国精神，确立正确的人生观和价值观，加强思想品德修养，增强学法、用法的自觉性，全面提高大学生的思想道德素质、行为修养和法律素养。</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3.《马克思主义中国化进程与青年学生使命担当》（</w:t>
      </w:r>
      <w:r>
        <w:rPr>
          <w:rFonts w:hint="eastAsia" w:ascii="宋体" w:hAnsi="宋体" w:eastAsia="宋体" w:cs="宋体"/>
          <w:color w:val="000000"/>
          <w:sz w:val="24"/>
          <w:lang w:eastAsia="zh-CN"/>
        </w:rPr>
        <w:t>24学时</w:t>
      </w:r>
      <w:r>
        <w:rPr>
          <w:rFonts w:hint="eastAsia" w:ascii="宋体" w:hAnsi="宋体" w:eastAsia="宋体" w:cs="宋体"/>
          <w:color w:val="000000"/>
          <w:sz w:val="24"/>
        </w:rPr>
        <w:t>，1.0学分）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为广东省高校学生必修课程。旨在通过学习，引导当代青年学生自觉做到“两个维护”，增强“四个自信”，坚持“五位一体”总体布局，自觉融入坚持和发展中国特色社会主义事业中。增强使命担当，自觉报效祖国，同人民一道，为实现“两个一百年”奋斗目标，实现中华民族伟大复兴的中国梦而奋斗。</w:t>
      </w:r>
    </w:p>
    <w:p>
      <w:pPr>
        <w:spacing w:line="360" w:lineRule="auto"/>
        <w:ind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rPr>
        <w:t>4.</w:t>
      </w:r>
      <w:r>
        <w:rPr>
          <w:rFonts w:hint="eastAsia" w:ascii="宋体" w:hAnsi="宋体" w:eastAsia="宋体" w:cs="宋体"/>
          <w:color w:val="000000"/>
          <w:sz w:val="24"/>
          <w:lang w:val="en-US" w:eastAsia="zh-CN"/>
        </w:rPr>
        <w:t>《习近平新时代中国特色社会主义思想概论》（48学时，3.0学分）</w:t>
      </w:r>
    </w:p>
    <w:p>
      <w:pPr>
        <w:spacing w:line="360" w:lineRule="auto"/>
        <w:ind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通过本课程学习，实现高职生从学理认知到信念生成的转化，增强使命担当。</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本课程主要以系统学习和理论阐释的方式，运用理论与实践、历史与现实相结合的方法，引导高职生全面深入地理解习近平新时代中国特色社会主义思想的理论体系、内在逻辑、精神实质和重大意义，理解其蕴含和体现的马克思主义基本立场、观点和方法，增进对其科学性系统性的把握，提高学习和运用的自觉性，增强建设社会主义现代化强国和实现中华民族伟大复兴中国梦的使命感。</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5.</w:t>
      </w:r>
      <w:r>
        <w:rPr>
          <w:rFonts w:hint="eastAsia" w:ascii="宋体" w:hAnsi="宋体" w:eastAsia="宋体" w:cs="宋体"/>
          <w:color w:val="000000"/>
          <w:sz w:val="24"/>
        </w:rPr>
        <w:t>《毛泽东思想和中国特色社会主义理论体系概论》（</w:t>
      </w:r>
      <w:r>
        <w:rPr>
          <w:rFonts w:hint="eastAsia" w:ascii="宋体" w:hAnsi="宋体" w:eastAsia="宋体" w:cs="宋体"/>
          <w:color w:val="000000"/>
          <w:sz w:val="24"/>
          <w:lang w:val="en-US" w:eastAsia="zh-CN"/>
        </w:rPr>
        <w:t>32</w:t>
      </w:r>
      <w:r>
        <w:rPr>
          <w:rFonts w:hint="eastAsia" w:ascii="宋体" w:hAnsi="宋体" w:eastAsia="宋体" w:cs="宋体"/>
          <w:color w:val="000000"/>
          <w:sz w:val="24"/>
        </w:rPr>
        <w:t>学时，</w:t>
      </w:r>
      <w:r>
        <w:rPr>
          <w:rFonts w:hint="eastAsia" w:ascii="宋体" w:hAnsi="宋体" w:eastAsia="宋体" w:cs="宋体"/>
          <w:color w:val="000000"/>
          <w:sz w:val="24"/>
          <w:lang w:val="en-US" w:eastAsia="zh-CN"/>
        </w:rPr>
        <w:t>2</w:t>
      </w:r>
      <w:r>
        <w:rPr>
          <w:rFonts w:hint="eastAsia" w:ascii="宋体" w:hAnsi="宋体" w:eastAsia="宋体" w:cs="宋体"/>
          <w:color w:val="000000"/>
          <w:sz w:val="24"/>
        </w:rPr>
        <w:t>.0学分）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是高校思想政治理论课程中的核心课程，是普通高等院校学生的必修课。这门课的基本内容是全面论述毛泽东思想、邓小平理论和“三个代表”重要思想、科学发展观和习近平新时代中国特色社会主义思想的科学涵义、形成发展过程、科学体系、历史地位、指导意义、基本观点及中国特色社会主义建设的路线方针政策等。使大学生通过学习，掌握马克思主义中国化的历程和理论成果，了解党的路线、方针和政策，确立中国特色社会主义的共同理想和信念，能自觉运用马克思主义的立场、观点和方法，提高分析解决现实问题的能力。</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6.</w:t>
      </w:r>
      <w:r>
        <w:rPr>
          <w:rFonts w:hint="eastAsia" w:ascii="宋体" w:hAnsi="宋体" w:eastAsia="宋体" w:cs="宋体"/>
          <w:color w:val="000000"/>
          <w:sz w:val="24"/>
        </w:rPr>
        <w:t>《形势与政策》（32学时，1.0学分）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形势与政策》是面向普通高校大学生开设的思想政治理论课程。本课程以马克思列宁主义、毛泽东思想、邓小平理论、“三个代表”、科学发展观和习近平新时代中国特色社会主义重要思想为指导，以当前国内外重大的热点问题为契机，对大学生进行形势与政策教育，帮助学生认清国际国内形势，了解党和国家重大方针政策。本课程着重对大学生进行改革开放和社会主义现代化建设形势、任务和发展成就教党和国家重大方针政策、重大活动和重大改革措施的教育。</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7</w:t>
      </w:r>
      <w:r>
        <w:rPr>
          <w:rFonts w:hint="eastAsia" w:ascii="宋体" w:hAnsi="宋体" w:eastAsia="宋体" w:cs="宋体"/>
          <w:color w:val="000000"/>
          <w:sz w:val="24"/>
        </w:rPr>
        <w:t>.《体育》（108学时，</w:t>
      </w:r>
      <w:r>
        <w:rPr>
          <w:rFonts w:hint="eastAsia" w:ascii="宋体" w:hAnsi="宋体" w:eastAsia="宋体" w:cs="宋体"/>
          <w:color w:val="000000"/>
          <w:sz w:val="24"/>
          <w:lang w:val="en-US" w:eastAsia="zh-CN"/>
        </w:rPr>
        <w:t>7</w:t>
      </w:r>
      <w:r>
        <w:rPr>
          <w:rFonts w:hint="eastAsia" w:ascii="宋体" w:hAnsi="宋体" w:eastAsia="宋体" w:cs="宋体"/>
          <w:color w:val="000000"/>
          <w:sz w:val="24"/>
        </w:rPr>
        <w:t>.0学分）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体育》是各个专业学生的必修公共课程。其任务是通过合理的体育教学和科学的体育锻炼过程，努力增强学生体质与健康，给学生以体育文化和健康知识，指导他们实践锻炼，养成终身体育的意识，培养学生中华传统美德。同时进行《学生体质健康标准》测试，以保证《学生体质健康标准》的落实。</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本课程主要内容包括田径、球类、形体健美操、中华传统养生功法（八段锦、太极拳、五禽戏等）及学生体质健康测试项目等。</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8</w:t>
      </w:r>
      <w:r>
        <w:rPr>
          <w:rFonts w:hint="eastAsia" w:ascii="宋体" w:hAnsi="宋体" w:eastAsia="宋体" w:cs="宋体"/>
          <w:color w:val="000000"/>
          <w:sz w:val="24"/>
        </w:rPr>
        <w:t>．《大学生心理健康教育》（32学时，2.0学分）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心理健康教育》是各专业的公共课程，其任务是以大学生心理素质的培养为主线，以提高大学生的心理素质为目的，以学生存在的主要心理问题为内容组织依据，力求通过通俗易懂的讲述，以促进学生的心理健康发展。重点是对心理健康知识的理解与运用上，目的在于提高大学生的自我调节和自我成长能力，并有助于他们社会能力、方法能力的形成。</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本课程的主要内容包括协调人际关系，增强适应社会生活的能力；认识与识别心理导常现象；大学生普通存在的、较为集中的心理问题等内容。</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9</w:t>
      </w:r>
      <w:r>
        <w:rPr>
          <w:rFonts w:hint="eastAsia" w:ascii="宋体" w:hAnsi="宋体" w:eastAsia="宋体" w:cs="宋体"/>
          <w:color w:val="000000"/>
          <w:sz w:val="24"/>
        </w:rPr>
        <w:t>.《大学生职业发展与就业指导》（</w:t>
      </w:r>
      <w:r>
        <w:rPr>
          <w:rFonts w:hint="eastAsia" w:ascii="宋体" w:hAnsi="宋体" w:eastAsia="宋体" w:cs="宋体"/>
          <w:color w:val="000000"/>
          <w:sz w:val="24"/>
          <w:lang w:val="en-US" w:eastAsia="zh-CN"/>
        </w:rPr>
        <w:t>32</w:t>
      </w:r>
      <w:r>
        <w:rPr>
          <w:rFonts w:hint="eastAsia" w:ascii="宋体" w:hAnsi="宋体" w:eastAsia="宋体" w:cs="宋体"/>
          <w:color w:val="000000"/>
          <w:sz w:val="24"/>
        </w:rPr>
        <w:t>学时，</w:t>
      </w:r>
      <w:r>
        <w:rPr>
          <w:rFonts w:hint="eastAsia" w:ascii="宋体" w:hAnsi="宋体" w:eastAsia="宋体" w:cs="宋体"/>
          <w:color w:val="000000"/>
          <w:sz w:val="24"/>
          <w:lang w:val="en-US" w:eastAsia="zh-CN"/>
        </w:rPr>
        <w:t>2</w:t>
      </w:r>
      <w:r>
        <w:rPr>
          <w:rFonts w:hint="eastAsia" w:ascii="宋体" w:hAnsi="宋体" w:eastAsia="宋体" w:cs="宋体"/>
          <w:color w:val="000000"/>
          <w:sz w:val="24"/>
        </w:rPr>
        <w:t>.0学分）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大学生职业发展与就业指导》是各专业学生的必修公共课程,其任务是通过本课程的学习帮助学生建立职业发展意识，树立科学就业观；使学生掌握职业生涯规划的基本理论和方法；提升学生就业能力和综合素质；引领学生主动思考、探索，正确认识自我，提升内在素养和品质，从而有效安排大学生活，合理规划未来发展。</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本课程内容包括自我认知、认识社会、人职匹配、就业指导、创业教育等。</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10</w:t>
      </w:r>
      <w:r>
        <w:rPr>
          <w:rFonts w:hint="eastAsia" w:ascii="宋体" w:hAnsi="宋体" w:eastAsia="宋体" w:cs="宋体"/>
          <w:color w:val="000000"/>
          <w:sz w:val="24"/>
        </w:rPr>
        <w:t>.《创新与创业教育》（32学时，2.0学分）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创新与创业教育》包括创新创业的关系、技术创新与创业、创业环境分析与创业者素质的要求、创办企业的知识、新创企业的管理、创业政策与法规、创业生涯的规划等方面的内容，旨在通过普及创新创业知识，提高大学生的创新创业意识，帮助有创业愿望的学生实现理想。</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1</w:t>
      </w:r>
      <w:r>
        <w:rPr>
          <w:rFonts w:hint="eastAsia" w:ascii="宋体" w:hAnsi="宋体" w:eastAsia="宋体" w:cs="宋体"/>
          <w:color w:val="000000"/>
          <w:sz w:val="24"/>
        </w:rPr>
        <w:t>.《信息技术》（52学时，3.</w:t>
      </w:r>
      <w:r>
        <w:rPr>
          <w:rFonts w:hint="eastAsia" w:ascii="宋体" w:hAnsi="宋体" w:eastAsia="宋体" w:cs="宋体"/>
          <w:color w:val="000000"/>
          <w:sz w:val="24"/>
          <w:lang w:val="en-US" w:eastAsia="zh-CN"/>
        </w:rPr>
        <w:t>5</w:t>
      </w:r>
      <w:r>
        <w:rPr>
          <w:rFonts w:hint="eastAsia" w:ascii="宋体" w:hAnsi="宋体" w:eastAsia="宋体" w:cs="宋体"/>
          <w:color w:val="000000"/>
          <w:sz w:val="24"/>
        </w:rPr>
        <w:t>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通过该课程的学习，使学生掌握计算机操作的基本技能，具有文字和数据处理能力、信息获取、整理、加工能力，网上交互能力，以适应现代医疗单位对医护人员信息素养和计算机应用技术的要求，并为今后的进一步学习打下基础。</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2</w:t>
      </w:r>
      <w:r>
        <w:rPr>
          <w:rFonts w:hint="eastAsia" w:ascii="宋体" w:hAnsi="宋体" w:eastAsia="宋体" w:cs="宋体"/>
          <w:color w:val="000000"/>
          <w:sz w:val="24"/>
        </w:rPr>
        <w:t>.《劳动教育》（16学时，1.0学分）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包括生产劳动、服务性劳动和日常生活劳动三个方面的知识、技能与价值观。让学生在工农业生产过程中直接经历物质财富的创造过程，学会使用工具，掌握相关技术，感受和体会平凡劳动中的伟大。让学生利用知识、技能等为他人和社会提供服务，在见习实习岗位上，提升服务意识，增强能力；在公益劳动、志愿服务中强化社会责任感。日常生活劳动教育立足个人生活事务处理，强化自立自强意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3</w:t>
      </w:r>
      <w:r>
        <w:rPr>
          <w:rFonts w:hint="eastAsia" w:ascii="宋体" w:hAnsi="宋体" w:eastAsia="宋体" w:cs="宋体"/>
          <w:color w:val="000000"/>
          <w:sz w:val="24"/>
        </w:rPr>
        <w:t>.《英语》（</w:t>
      </w:r>
      <w:r>
        <w:rPr>
          <w:rFonts w:hint="eastAsia" w:ascii="宋体" w:hAnsi="宋体" w:eastAsia="宋体" w:cs="宋体"/>
          <w:color w:val="000000"/>
          <w:sz w:val="24"/>
          <w:lang w:val="en-US" w:eastAsia="zh-CN"/>
        </w:rPr>
        <w:t>52</w:t>
      </w:r>
      <w:r>
        <w:rPr>
          <w:rFonts w:hint="eastAsia" w:ascii="宋体" w:hAnsi="宋体" w:eastAsia="宋体" w:cs="宋体"/>
          <w:color w:val="000000"/>
          <w:sz w:val="24"/>
        </w:rPr>
        <w:t>学时，</w:t>
      </w:r>
      <w:r>
        <w:rPr>
          <w:rFonts w:hint="eastAsia" w:ascii="宋体" w:hAnsi="宋体" w:eastAsia="宋体" w:cs="宋体"/>
          <w:color w:val="000000"/>
          <w:sz w:val="24"/>
          <w:lang w:val="en-US" w:eastAsia="zh-CN"/>
        </w:rPr>
        <w:t>3.5</w:t>
      </w:r>
      <w:r>
        <w:rPr>
          <w:rFonts w:hint="eastAsia" w:ascii="宋体" w:hAnsi="宋体" w:eastAsia="宋体" w:cs="宋体"/>
          <w:color w:val="000000"/>
          <w:sz w:val="24"/>
        </w:rPr>
        <w:t>学分）</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是从听、说、读、写、译等方面实施大学英语基础阶段教学，其任务是以阅读和听说为主，进一步帮助学生打下扎实的语言基础，掌握良好的语言学习方法，培养学生具有较强的阅读能力和听、说、写、译的能力。在帮助学生打好语言基础的同时，要重视培养学生的应用交际能力，提高他们的文化素养，以适应多元社会发展。</w:t>
      </w:r>
    </w:p>
    <w:p>
      <w:pPr>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val="en-US" w:eastAsia="zh-CN"/>
        </w:rPr>
        <w:t>4</w:t>
      </w:r>
      <w:r>
        <w:rPr>
          <w:rFonts w:hint="eastAsia" w:ascii="宋体" w:hAnsi="宋体" w:eastAsia="宋体" w:cs="宋体"/>
          <w:color w:val="000000"/>
          <w:sz w:val="24"/>
        </w:rPr>
        <w:t>.国家安全教育（16学时，1.0学分）</w:t>
      </w:r>
    </w:p>
    <w:p>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本课程重点围绕理解中华民族命运与国家关系，通过国家安全的重要性，我国新时代国家安全的形势与特点，总体国家安全观的基本内涵、重点领域和重大意义，以及相关法律法规的学习。让学生系统掌握总体国家安全观的内涵和精神实质，理解中国特色国家安全体系，树立国家安全底线思维，将国家安全意识转化为自觉行动，强化责任担当。</w:t>
      </w:r>
    </w:p>
    <w:p>
      <w:pPr>
        <w:spacing w:line="360" w:lineRule="auto"/>
        <w:ind w:firstLine="482" w:firstLineChars="200"/>
        <w:rPr>
          <w:rFonts w:ascii="宋体" w:hAnsi="宋体" w:eastAsia="宋体" w:cs="宋体"/>
          <w:color w:val="000000"/>
          <w:sz w:val="24"/>
        </w:rPr>
      </w:pPr>
      <w:r>
        <w:rPr>
          <w:rFonts w:hint="eastAsia" w:ascii="宋体" w:hAnsi="宋体"/>
          <w:b/>
          <w:bCs/>
          <w:sz w:val="24"/>
        </w:rPr>
        <w:t>（二）专业基础课模块（</w:t>
      </w:r>
      <w:r>
        <w:rPr>
          <w:rFonts w:hint="eastAsia" w:ascii="宋体" w:hAnsi="宋体"/>
          <w:b/>
          <w:sz w:val="24"/>
        </w:rPr>
        <w:t>学时358，学分23.5</w:t>
      </w:r>
      <w:r>
        <w:rPr>
          <w:rFonts w:hint="eastAsia" w:ascii="宋体" w:hAnsi="宋体"/>
          <w:b/>
          <w:bCs/>
          <w:sz w:val="24"/>
        </w:rPr>
        <w:t>）</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1.《人体解剖学》（48学时，3.0学分）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内容主要包括运动系统组成和功能、消化系统组成和功能、呼吸系统组成和功能、泌尿系统组成和功能、生殖系统组成和功能等。通过学习使学生掌握人体各器官的配布、形态结构和重要毗邻关系的知识，为其他基础医学课程和临床医学课程以及临床实践奠定基础。</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2.《生理学》（32学时，2.0学分）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内容主要包括细胞的基本功能，各种生命活动发生发展的规律，以及机体各系统在内、外环境变化对机体功能的影响和人体所做的相应调节等。通过学习，使学生掌握人体基本生命活动现象及其产生的机制，从而为揭示常见病、多发病的病理生理现象打下坚实的理论基础，掌握动物实验常用的实验技术，培养学生的实践操作能力和创新能力，为学生今后参加临床工作打下坚实的理论和实践技能基础。</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 xml:space="preserve">3.《病理学》（32学时，2.0学分） </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内容包括疾病概论、细胞、组织的适应、损伤与修复、水、电解质代谢紊乱等内容。按照现代医学模式应用各种方法研究疾病的病因、发病机制、患病机体的功能代谢和形态结构的变化，为疾病诊断、治疗和临床各课提供科学的理论基础。</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 xml:space="preserve">4.《药理学》（32学时，2.0学分） </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内容包括药理学的性质与任务、药物效应动力学、药物代谢动力学、影响药物作用的因素、传出神经系统药理、胆碱受体阻断药等内容。药理学使学生充分了解如何观察药疗和不良反应及防治措施，起到药疗监护作用，使治疗药物能发挥最佳和减少毒副反应，以确保临床用药安全有效。</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5.《中医基础理论》（54学时，3.5学分）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内容包括中医学基本特点的整体观念与辨证论治；中医的基本思维方法；阴阳、五行学说；中医基本理论及基本知识的藏象、精气血津液、体质、病因、发病、病机；对疾病的防治原则。使学生为继续学习中医诊断学、中药学、方剂学、中医内、外、妇、儿临床各科打下基础。</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6.《中医诊断学》（42学时，3.0学分）　</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内容包括诊法、辨证、辨病、病案书写、四诊与辨证、辨病综合运用等内容。其中诊法部分包括望诊、闻诊、问诊、切诊四诊。辨证部分包括八纲辨证、脏腑辨证、病因辨证、气血津液辨证、其他辨证方法。 使学生获得中医诊治疾病的基本知识和基本技能。</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 xml:space="preserve">7.《中药学》（68学时，4.5学分） </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本课程主要内容包括中药的基本理论和知识、各类常用中药的性味、归经、功效、主治、临床运用、用量及运用注意事项等，使学生掌握常用中药的功效与主治，能够认识和正确临床运用常用中药治疗疾病。</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8.《方剂学》（50学时，3.5学分）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内容包括方剂的基本理论和知识、各类常用方剂的药物组成、功效、主治、临床运用、及运用注意事项等，使学生掌握所必需的有关方剂学的基本理论、基本知识、基本技能和一定数量的成方，具有分析、应用成方和独立处方治病的能力。</w:t>
      </w:r>
    </w:p>
    <w:p>
      <w:pPr>
        <w:spacing w:line="360" w:lineRule="auto"/>
        <w:ind w:firstLine="482" w:firstLineChars="200"/>
        <w:rPr>
          <w:rFonts w:ascii="宋体" w:hAnsi="宋体" w:eastAsia="宋体" w:cs="宋体"/>
          <w:color w:val="000000"/>
          <w:sz w:val="24"/>
        </w:rPr>
      </w:pPr>
      <w:r>
        <w:rPr>
          <w:rFonts w:hint="eastAsia" w:ascii="宋体" w:hAnsi="宋体"/>
          <w:b/>
          <w:bCs/>
          <w:sz w:val="24"/>
        </w:rPr>
        <w:t>（三）专业核心课模块（</w:t>
      </w:r>
      <w:r>
        <w:rPr>
          <w:rFonts w:hint="eastAsia" w:ascii="宋体" w:hAnsi="宋体"/>
          <w:b/>
          <w:sz w:val="24"/>
        </w:rPr>
        <w:t>学时</w:t>
      </w:r>
      <w:r>
        <w:rPr>
          <w:rFonts w:hint="eastAsia" w:ascii="宋体" w:hAnsi="宋体"/>
          <w:b/>
          <w:bCs/>
          <w:sz w:val="24"/>
          <w:lang w:val="en-US" w:eastAsia="zh-CN"/>
        </w:rPr>
        <w:t>454</w:t>
      </w:r>
      <w:r>
        <w:rPr>
          <w:rFonts w:hint="eastAsia" w:ascii="宋体" w:hAnsi="宋体"/>
          <w:b/>
          <w:sz w:val="24"/>
        </w:rPr>
        <w:t>，学分</w:t>
      </w:r>
      <w:r>
        <w:rPr>
          <w:rFonts w:hint="eastAsia" w:ascii="宋体" w:hAnsi="宋体"/>
          <w:b/>
          <w:sz w:val="24"/>
          <w:lang w:val="en-US" w:eastAsia="zh-CN"/>
        </w:rPr>
        <w:t>30</w:t>
      </w:r>
      <w:r>
        <w:rPr>
          <w:rFonts w:hint="eastAsia" w:ascii="宋体" w:hAnsi="宋体"/>
          <w:b/>
          <w:bCs/>
          <w:sz w:val="24"/>
        </w:rPr>
        <w:t>）</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1</w:t>
      </w:r>
      <w:r>
        <w:rPr>
          <w:rFonts w:hint="eastAsia" w:ascii="宋体" w:hAnsi="宋体" w:eastAsia="宋体" w:cs="宋体"/>
          <w:color w:val="000000"/>
          <w:sz w:val="24"/>
        </w:rPr>
        <w:t>.《针灸学》（6</w:t>
      </w:r>
      <w:r>
        <w:rPr>
          <w:rFonts w:hint="eastAsia" w:ascii="宋体" w:hAnsi="宋体" w:eastAsia="宋体" w:cs="宋体"/>
          <w:color w:val="000000"/>
          <w:sz w:val="24"/>
          <w:lang w:val="en-US" w:eastAsia="zh-CN"/>
        </w:rPr>
        <w:t>4</w:t>
      </w:r>
      <w:r>
        <w:rPr>
          <w:rFonts w:hint="eastAsia" w:ascii="宋体" w:hAnsi="宋体" w:eastAsia="宋体" w:cs="宋体"/>
          <w:color w:val="000000"/>
          <w:sz w:val="24"/>
        </w:rPr>
        <w:t>学时，4.</w:t>
      </w:r>
      <w:r>
        <w:rPr>
          <w:rFonts w:hint="eastAsia" w:ascii="宋体" w:hAnsi="宋体" w:eastAsia="宋体" w:cs="宋体"/>
          <w:color w:val="000000"/>
          <w:sz w:val="24"/>
          <w:lang w:val="en-US" w:eastAsia="zh-CN"/>
        </w:rPr>
        <w:t>0</w:t>
      </w:r>
      <w:r>
        <w:rPr>
          <w:rFonts w:hint="eastAsia" w:ascii="宋体" w:hAnsi="宋体" w:eastAsia="宋体" w:cs="宋体"/>
          <w:color w:val="000000"/>
          <w:sz w:val="24"/>
        </w:rPr>
        <w:t>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讲授针灸治疗的各种具体方法、操作技术、临床应用及其原理，它集合古今刺法灸法的基本理论、基本技能于一体，是针灸推拿专业的核心课程。注重基础理论与基本技能相结合，安排了大量实训课，通过教师操作示范和学生动手实践，使学生掌握针灸技术的规范化操作。</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2.</w:t>
      </w:r>
      <w:r>
        <w:rPr>
          <w:rFonts w:hint="eastAsia" w:ascii="宋体" w:hAnsi="宋体" w:eastAsia="宋体" w:cs="宋体"/>
          <w:color w:val="000000"/>
          <w:sz w:val="24"/>
        </w:rPr>
        <w:t>《推拿学》（6</w:t>
      </w:r>
      <w:r>
        <w:rPr>
          <w:rFonts w:hint="eastAsia" w:ascii="宋体" w:hAnsi="宋体" w:eastAsia="宋体" w:cs="宋体"/>
          <w:color w:val="000000"/>
          <w:sz w:val="24"/>
          <w:lang w:val="en-US" w:eastAsia="zh-CN"/>
        </w:rPr>
        <w:t>4</w:t>
      </w:r>
      <w:r>
        <w:rPr>
          <w:rFonts w:hint="eastAsia" w:ascii="宋体" w:hAnsi="宋体" w:eastAsia="宋体" w:cs="宋体"/>
          <w:color w:val="000000"/>
          <w:sz w:val="24"/>
        </w:rPr>
        <w:t>学时，4.</w:t>
      </w:r>
      <w:r>
        <w:rPr>
          <w:rFonts w:hint="eastAsia" w:ascii="宋体" w:hAnsi="宋体" w:eastAsia="宋体" w:cs="宋体"/>
          <w:color w:val="000000"/>
          <w:sz w:val="24"/>
          <w:lang w:val="en-US" w:eastAsia="zh-CN"/>
        </w:rPr>
        <w:t>0</w:t>
      </w:r>
      <w:r>
        <w:rPr>
          <w:rFonts w:hint="eastAsia" w:ascii="宋体" w:hAnsi="宋体" w:eastAsia="宋体" w:cs="宋体"/>
          <w:color w:val="000000"/>
          <w:sz w:val="24"/>
        </w:rPr>
        <w:t>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以中医学基础理论为指导，通过经络、推拿手法等中医传统疗法，以防治疾病为目标的主干课程之一。它与中医学的各门基础与临床学科有着广泛而密切的联系，区别于中医外科学，具有鲜明的外治特色，具有着很强的实际应用价值。学生能掌握推拿手法的基本理论和基础知识，学会各种推拿手法的操作技能；能运用中医学知识，以辨证论治原则处理临床各类常见疾病。</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.《中医内科学》（</w:t>
      </w:r>
      <w:r>
        <w:rPr>
          <w:rFonts w:hint="eastAsia" w:ascii="宋体" w:hAnsi="宋体" w:eastAsia="宋体" w:cs="宋体"/>
          <w:color w:val="000000"/>
          <w:sz w:val="24"/>
          <w:lang w:val="en-US" w:eastAsia="zh-CN"/>
        </w:rPr>
        <w:t>64</w:t>
      </w:r>
      <w:r>
        <w:rPr>
          <w:rFonts w:hint="eastAsia" w:ascii="宋体" w:hAnsi="宋体" w:eastAsia="宋体" w:cs="宋体"/>
          <w:color w:val="000000"/>
          <w:sz w:val="24"/>
        </w:rPr>
        <w:t>学时，</w:t>
      </w:r>
      <w:r>
        <w:rPr>
          <w:rFonts w:hint="eastAsia" w:ascii="宋体" w:hAnsi="宋体" w:eastAsia="宋体" w:cs="宋体"/>
          <w:color w:val="000000"/>
          <w:sz w:val="24"/>
          <w:lang w:val="en-US" w:eastAsia="zh-CN"/>
        </w:rPr>
        <w:t>4.0</w:t>
      </w:r>
      <w:r>
        <w:rPr>
          <w:rFonts w:hint="eastAsia" w:ascii="宋体" w:hAnsi="宋体" w:eastAsia="宋体" w:cs="宋体"/>
          <w:color w:val="000000"/>
          <w:sz w:val="24"/>
        </w:rPr>
        <w:t>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内容包括中医内科各脏腑系统主要病证的基本知识及辨证论治规律。通过本课程教学，使学生获得中医内科常见病的证候、病因病机、辨证论治和处方用药知识以及部分难治病、急危重症的诊治技能，熟悉中医内科的临床思维及实际操作程序。</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.《中医外科学》（42学时，3.0学分）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本课程内容包括中医外科各常见病证的基本知识及辨证论治规律。通过本课程教学，使学生掌握中医外科常见病的病因病机、诊断、鉴别诊断、辨证论治方法、预防与调摄等基本知识和技能。</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5</w:t>
      </w:r>
      <w:r>
        <w:rPr>
          <w:rFonts w:hint="eastAsia" w:ascii="宋体" w:hAnsi="宋体" w:eastAsia="宋体" w:cs="宋体"/>
          <w:color w:val="000000"/>
          <w:sz w:val="24"/>
        </w:rPr>
        <w:t>.《中医妇科学》（42学时，3.0学分）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本课程内容包括妇科常见病的诊治规律。通过本课程教学，使学生掌握中西医妇科常见病的病因病机特点、临床表现、实验室和其他检查、诊断和鉴别诊断、中医辨证论治方法、预防调摄等基本知识和技能。</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6</w:t>
      </w:r>
      <w:r>
        <w:rPr>
          <w:rFonts w:hint="eastAsia" w:ascii="宋体" w:hAnsi="宋体" w:eastAsia="宋体" w:cs="宋体"/>
          <w:color w:val="000000"/>
          <w:sz w:val="24"/>
        </w:rPr>
        <w:t>.《中医儿科学》（42学时，3.0学分）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内容包括儿科常见病的中医辨证论治及诊治规律。通过本课程教学，使学生掌握中西医儿科常见病的病因病机特点、临床表现、实验室和其他检查、诊断和鉴别诊断、中医辨证论治方法、预防调摄等基本知识和技能。</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7</w:t>
      </w:r>
      <w:r>
        <w:rPr>
          <w:rFonts w:hint="eastAsia" w:ascii="宋体" w:hAnsi="宋体" w:eastAsia="宋体" w:cs="宋体"/>
          <w:color w:val="000000"/>
          <w:sz w:val="24"/>
        </w:rPr>
        <w:t>.《诊断学基础》（42学时，3.0学分）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本课程主要内容包括常见症状、问诊、体格检查、实验检查、医学影像学检查、心电图检查和其他检查、常用诊疗技能、医疗文书与诊断思维等。使学生掌握诊断疾病的基本知识和基本检查方法。</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8</w:t>
      </w:r>
      <w:r>
        <w:rPr>
          <w:rFonts w:hint="eastAsia" w:ascii="宋体" w:hAnsi="宋体" w:eastAsia="宋体" w:cs="宋体"/>
          <w:color w:val="000000"/>
          <w:sz w:val="24"/>
        </w:rPr>
        <w:t>.《内科学》（48学时，3.0学分）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本课程主要内容包括临床常见病、多发病的病因、发病机理及防治措施。使学生获得人体各系统、各器官疾病的发生、发展规律和防治原则等基本知识和技能。</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sz w:val="24"/>
          <w:lang w:val="en-US" w:eastAsia="zh-CN"/>
        </w:rPr>
        <w:t>9</w:t>
      </w:r>
      <w:r>
        <w:rPr>
          <w:rFonts w:hint="eastAsia" w:ascii="宋体" w:hAnsi="宋体"/>
          <w:sz w:val="24"/>
        </w:rPr>
        <w:t>.《综合技能训练》（30学时，2.0学分）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sz w:val="24"/>
        </w:rPr>
        <w:t>本课程</w:t>
      </w:r>
      <w:r>
        <w:rPr>
          <w:rFonts w:hint="eastAsia" w:ascii="宋体" w:hAnsi="宋体" w:cs="Times New Roman"/>
          <w:sz w:val="24"/>
        </w:rPr>
        <w:t>根据高等中医药院校实验教学的特色，将中医综合技能训练独立成一门课程，在实习前强化中医基本技能，旨在培养学生的实践创新能力，综合分析问题能力，从而推动中医实践教学的改革。</w:t>
      </w:r>
    </w:p>
    <w:p>
      <w:pPr>
        <w:spacing w:line="360" w:lineRule="auto"/>
        <w:ind w:firstLine="482" w:firstLineChars="200"/>
        <w:rPr>
          <w:rFonts w:ascii="宋体" w:hAnsi="宋体" w:eastAsia="宋体" w:cs="宋体"/>
          <w:color w:val="000000"/>
          <w:sz w:val="24"/>
        </w:rPr>
      </w:pPr>
      <w:r>
        <w:rPr>
          <w:rFonts w:hint="eastAsia" w:ascii="宋体" w:hAnsi="宋体"/>
          <w:b/>
          <w:bCs/>
          <w:sz w:val="24"/>
        </w:rPr>
        <w:t>（四）选修课模块（</w:t>
      </w:r>
      <w:r>
        <w:rPr>
          <w:rFonts w:hint="eastAsia" w:ascii="宋体" w:hAnsi="宋体"/>
          <w:b/>
          <w:sz w:val="24"/>
        </w:rPr>
        <w:t>学时</w:t>
      </w:r>
      <w:r>
        <w:rPr>
          <w:rFonts w:hint="eastAsia" w:ascii="宋体" w:hAnsi="宋体"/>
          <w:b/>
          <w:bCs/>
          <w:sz w:val="24"/>
          <w:lang w:val="en-US" w:eastAsia="zh-CN"/>
        </w:rPr>
        <w:t>298</w:t>
      </w:r>
      <w:r>
        <w:rPr>
          <w:rFonts w:hint="eastAsia" w:ascii="宋体" w:hAnsi="宋体"/>
          <w:b/>
          <w:sz w:val="24"/>
        </w:rPr>
        <w:t>，学分</w:t>
      </w:r>
      <w:r>
        <w:rPr>
          <w:rFonts w:hint="eastAsia" w:ascii="宋体" w:hAnsi="宋体"/>
          <w:b/>
          <w:sz w:val="24"/>
          <w:lang w:val="en-US" w:eastAsia="zh-CN"/>
        </w:rPr>
        <w:t>19</w:t>
      </w:r>
      <w:r>
        <w:rPr>
          <w:rFonts w:hint="eastAsia" w:ascii="宋体" w:hAnsi="宋体"/>
          <w:b/>
          <w:bCs/>
          <w:sz w:val="24"/>
        </w:rPr>
        <w:t>）</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1.《医学伦理学》（16学时，1.0学分）</w:t>
      </w:r>
    </w:p>
    <w:p>
      <w:pPr>
        <w:adjustRightInd w:val="0"/>
        <w:snapToGrid w:val="0"/>
        <w:spacing w:line="360" w:lineRule="auto"/>
        <w:ind w:firstLine="480" w:firstLineChars="200"/>
        <w:rPr>
          <w:rFonts w:ascii="宋体" w:hAnsi="宋体"/>
          <w:sz w:val="24"/>
        </w:rPr>
      </w:pPr>
      <w:r>
        <w:rPr>
          <w:rFonts w:hint="eastAsia" w:ascii="宋体" w:hAnsi="宋体"/>
          <w:sz w:val="24"/>
        </w:rPr>
        <w:t>通过本课程的开设，使医学生比较全面、系统地掌握医德的基本理论和基本规范，了解医德新课题，正确处理医患关系、医际关系及医德主体与社会之间关系，形成良好的医德品质和较强的分析、解决临床医学伦理问题的能力，以适应医学工作和医学发展的需要，成为德才兼备、全面发展的高素质人才。</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2.《卫生法律法规》（16学时，1.0学分）</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本课程是学习和识读卫生领域相关法律法规的基础课程。其功能是使学生了解国家卫生方面的法律法规，本课程是以医疗行为所涉及的法律和法律问题为对象进行分析和解决的一门实用性法律知识普及课程。旨在培养学生的法律思维素质和严谨的工作态度，为从事临床工作打下必要的基础。</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3.《传染病学》（16学时，1.0学分）</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本课程是一门研究各种传染病在人体内外发生、发展、传播、诊断、治疗和预防规律的科学。通过该课程的学习，使学生掌握传染病的常见病、多发病的病因、发病机理、临床表现、诊断和防治的理论知识和技能，为从事临床传染病工作奠定基础。通过基本技能、思维方式、工作能力的训练，使学生具有发现问题、分析问题和解决问题的能力，提高学生的综合素质，培养正确的临床思维方法和工作方法，为加速控制消灭某些传染病打下坚实基础。</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4.《中医</w:t>
      </w:r>
      <w:r>
        <w:rPr>
          <w:rFonts w:hint="eastAsia" w:ascii="宋体" w:hAnsi="宋体" w:eastAsia="宋体" w:cs="宋体"/>
          <w:color w:val="000000"/>
          <w:kern w:val="0"/>
          <w:sz w:val="24"/>
          <w:lang w:val="en-US" w:eastAsia="zh-CN"/>
        </w:rPr>
        <w:t>骨</w:t>
      </w:r>
      <w:r>
        <w:rPr>
          <w:rFonts w:hint="eastAsia" w:ascii="宋体" w:hAnsi="宋体" w:eastAsia="宋体" w:cs="宋体"/>
          <w:color w:val="000000"/>
          <w:kern w:val="0"/>
          <w:sz w:val="24"/>
        </w:rPr>
        <w:t>伤科学》（</w:t>
      </w:r>
      <w:r>
        <w:rPr>
          <w:rFonts w:hint="eastAsia" w:ascii="宋体" w:hAnsi="宋体" w:eastAsia="宋体" w:cs="宋体"/>
          <w:color w:val="000000"/>
          <w:kern w:val="0"/>
          <w:sz w:val="24"/>
          <w:lang w:val="en-US" w:eastAsia="zh-CN"/>
        </w:rPr>
        <w:t>42</w:t>
      </w:r>
      <w:r>
        <w:rPr>
          <w:rFonts w:hint="eastAsia" w:ascii="宋体" w:hAnsi="宋体" w:eastAsia="宋体" w:cs="宋体"/>
          <w:color w:val="000000"/>
          <w:kern w:val="0"/>
          <w:sz w:val="24"/>
        </w:rPr>
        <w:t>学时，</w:t>
      </w:r>
      <w:r>
        <w:rPr>
          <w:rFonts w:hint="eastAsia" w:ascii="宋体" w:hAnsi="宋体" w:eastAsia="宋体" w:cs="宋体"/>
          <w:color w:val="000000"/>
          <w:kern w:val="0"/>
          <w:sz w:val="24"/>
          <w:lang w:val="en-US" w:eastAsia="zh-CN"/>
        </w:rPr>
        <w:t>4</w:t>
      </w:r>
      <w:r>
        <w:rPr>
          <w:rFonts w:hint="eastAsia" w:ascii="宋体" w:hAnsi="宋体" w:eastAsia="宋体" w:cs="宋体"/>
          <w:color w:val="000000"/>
          <w:kern w:val="0"/>
          <w:sz w:val="24"/>
        </w:rPr>
        <w:t>.0学分）</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本课程内容包括总论、骨折、脱位与关节错缝、伤筋、内伤、骨关节病等。通过本课程学习，能较熟练对常见闭合性骨折进行初步处理,能对常见关节脱位进行手法复位及固定，并指导患者进行功能锻炼等。</w:t>
      </w:r>
    </w:p>
    <w:p>
      <w:pPr>
        <w:spacing w:line="360" w:lineRule="auto"/>
        <w:ind w:firstLine="480" w:firstLineChars="200"/>
        <w:jc w:val="left"/>
        <w:rPr>
          <w:rFonts w:asciiTheme="minorEastAsia" w:hAnsiTheme="minorEastAsia" w:eastAsiaTheme="minorEastAsia"/>
          <w:sz w:val="24"/>
        </w:rPr>
      </w:pPr>
      <w:r>
        <w:rPr>
          <w:rFonts w:hint="eastAsia" w:ascii="宋体" w:hAnsi="宋体" w:eastAsia="宋体" w:cs="宋体"/>
          <w:color w:val="000000"/>
          <w:kern w:val="0"/>
          <w:sz w:val="24"/>
        </w:rPr>
        <w:t>5.</w:t>
      </w:r>
      <w:r>
        <w:rPr>
          <w:rFonts w:hint="eastAsia" w:asciiTheme="minorEastAsia" w:hAnsiTheme="minorEastAsia" w:eastAsiaTheme="minorEastAsia"/>
          <w:bCs/>
          <w:sz w:val="24"/>
        </w:rPr>
        <w:t>《运动治疗技术》</w:t>
      </w:r>
      <w:r>
        <w:rPr>
          <w:rFonts w:hint="eastAsia" w:asciiTheme="minorEastAsia" w:hAnsiTheme="minorEastAsia" w:eastAsiaTheme="minorEastAsia"/>
          <w:sz w:val="24"/>
        </w:rPr>
        <w:t>（</w:t>
      </w:r>
      <w:r>
        <w:rPr>
          <w:rFonts w:hint="eastAsia" w:asciiTheme="minorEastAsia" w:hAnsiTheme="minorEastAsia"/>
          <w:sz w:val="24"/>
          <w:lang w:val="en-US" w:eastAsia="zh-CN"/>
        </w:rPr>
        <w:t>16</w:t>
      </w:r>
      <w:r>
        <w:rPr>
          <w:rFonts w:hint="eastAsia" w:asciiTheme="minorEastAsia" w:hAnsiTheme="minorEastAsia" w:eastAsiaTheme="minorEastAsia"/>
          <w:sz w:val="24"/>
        </w:rPr>
        <w:t>学时，</w:t>
      </w:r>
      <w:r>
        <w:rPr>
          <w:rFonts w:hint="eastAsia" w:asciiTheme="minorEastAsia" w:hAnsiTheme="minorEastAsia"/>
          <w:sz w:val="24"/>
          <w:lang w:val="en-US" w:eastAsia="zh-CN"/>
        </w:rPr>
        <w:t>1</w:t>
      </w:r>
      <w:r>
        <w:rPr>
          <w:rFonts w:hint="eastAsia" w:asciiTheme="minorEastAsia" w:hAnsiTheme="minorEastAsia" w:eastAsiaTheme="minorEastAsia"/>
          <w:sz w:val="24"/>
        </w:rPr>
        <w:t>.0学分）</w:t>
      </w:r>
    </w:p>
    <w:p>
      <w:pPr>
        <w:spacing w:line="360" w:lineRule="auto"/>
        <w:ind w:firstLine="480" w:firstLineChars="200"/>
        <w:jc w:val="left"/>
        <w:rPr>
          <w:rFonts w:asciiTheme="minorEastAsia" w:hAnsiTheme="minorEastAsia" w:eastAsiaTheme="minorEastAsia"/>
          <w:bCs/>
          <w:sz w:val="24"/>
        </w:rPr>
      </w:pPr>
      <w:r>
        <w:rPr>
          <w:rFonts w:hint="eastAsia" w:asciiTheme="minorEastAsia" w:hAnsiTheme="minorEastAsia" w:eastAsiaTheme="minorEastAsia"/>
          <w:bCs/>
          <w:sz w:val="24"/>
        </w:rPr>
        <w:t>《运动治疗技术》是康复治疗技术专业必修的一门重要专业核心课程。其任务是通过本课程的学习,使同学们掌握各种运动治疗方法的基础理论、治疗作用、实际操作以及操作过程中的注意事项，它对学生职业能力培养和职业素质养成起主要支撑作用，承载着培养学生常见病康复必要的基础知识和各种手法、技能。</w:t>
      </w:r>
    </w:p>
    <w:p>
      <w:pPr>
        <w:spacing w:line="360" w:lineRule="auto"/>
        <w:ind w:firstLine="480" w:firstLineChars="200"/>
        <w:jc w:val="left"/>
        <w:rPr>
          <w:rFonts w:hint="eastAsia" w:asciiTheme="minorEastAsia" w:hAnsiTheme="minorEastAsia" w:eastAsiaTheme="minorEastAsia"/>
          <w:bCs/>
          <w:sz w:val="24"/>
        </w:rPr>
      </w:pPr>
      <w:r>
        <w:rPr>
          <w:rFonts w:hint="eastAsia" w:asciiTheme="minorEastAsia" w:hAnsiTheme="minorEastAsia" w:eastAsiaTheme="minorEastAsia"/>
          <w:bCs/>
          <w:sz w:val="24"/>
        </w:rPr>
        <w:t>本课程主要内容包括关节活动范围的训练、关节松动技术、肌力和肌耐力的训练、平衡与协调功能训练、体位与转移训练、步行训练、心肺功能训练，培养学生掌握常用的各种运动治疗技术及神经生理学疗法中的Bobath技术、Brunnstrom技术，PNF技术、Rood技术等。</w:t>
      </w:r>
    </w:p>
    <w:p>
      <w:pPr>
        <w:spacing w:line="360" w:lineRule="auto"/>
        <w:ind w:firstLine="480" w:firstLineChars="200"/>
        <w:jc w:val="left"/>
        <w:rPr>
          <w:rFonts w:ascii="宋体" w:hAnsi="宋体" w:eastAsia="宋体" w:cs="宋体"/>
          <w:color w:val="000000"/>
          <w:kern w:val="0"/>
          <w:sz w:val="24"/>
        </w:rPr>
      </w:pPr>
      <w:r>
        <w:rPr>
          <w:rFonts w:hint="eastAsia" w:ascii="宋体" w:hAnsi="宋体" w:eastAsia="宋体" w:cs="宋体"/>
          <w:color w:val="000000"/>
          <w:kern w:val="0"/>
          <w:sz w:val="24"/>
        </w:rPr>
        <w:t>6.《小儿推拿》（16学时，1.0学分）</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本课程是推拿学的一个重要分支，是研究推拿对小儿疾病的防治和在小儿保健方面运用的一门学科。主要介绍小儿推拿特定的手法、穴位和常见病、多发病的防治，以及这一特定方法在促进小儿生长发育、预防疾病方面的运用。本课程主要内容包括小儿推拿发展简史、小儿生理病理特点、小儿推拿治疗概要、诊法概要、常用手法、常用穴位、小儿常见病症的推拿治疗。</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7.《急救医学》（16学时，1.0学分）</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本课程内容包括现场急救总则、心搏骤停与心肺复苏、创伤现场急救、常见意外伤害的现场急救、常见急症的现场急救、 灾害事件的现场逃生与救护等。注重培养学生的现场急救知识与技术。</w:t>
      </w:r>
    </w:p>
    <w:p>
      <w:pPr>
        <w:spacing w:line="360" w:lineRule="auto"/>
        <w:ind w:firstLine="480" w:firstLineChars="200"/>
        <w:jc w:val="left"/>
        <w:rPr>
          <w:rFonts w:asciiTheme="minorEastAsia" w:hAnsiTheme="minorEastAsia" w:eastAsiaTheme="minorEastAsia"/>
          <w:sz w:val="24"/>
        </w:rPr>
      </w:pPr>
      <w:r>
        <w:rPr>
          <w:rFonts w:hint="eastAsia" w:ascii="宋体" w:hAnsi="宋体" w:eastAsia="宋体" w:cs="宋体"/>
          <w:color w:val="000000"/>
          <w:kern w:val="0"/>
          <w:sz w:val="24"/>
          <w:lang w:val="en-US" w:eastAsia="zh-CN"/>
        </w:rPr>
        <w:t>8</w:t>
      </w:r>
      <w:r>
        <w:rPr>
          <w:rFonts w:hint="eastAsia" w:ascii="宋体" w:hAnsi="宋体" w:eastAsia="宋体" w:cs="宋体"/>
          <w:color w:val="000000"/>
          <w:kern w:val="0"/>
          <w:sz w:val="24"/>
        </w:rPr>
        <w:t>.</w:t>
      </w:r>
      <w:r>
        <w:rPr>
          <w:rFonts w:hint="eastAsia" w:asciiTheme="minorEastAsia" w:hAnsiTheme="minorEastAsia" w:eastAsiaTheme="minorEastAsia"/>
          <w:bCs/>
          <w:sz w:val="24"/>
        </w:rPr>
        <w:t>《作业治疗技术》</w:t>
      </w:r>
      <w:r>
        <w:rPr>
          <w:rFonts w:hint="eastAsia" w:asciiTheme="minorEastAsia" w:hAnsiTheme="minorEastAsia" w:eastAsiaTheme="minorEastAsia"/>
          <w:sz w:val="24"/>
        </w:rPr>
        <w:t>（</w:t>
      </w:r>
      <w:r>
        <w:rPr>
          <w:rFonts w:hint="eastAsia" w:asciiTheme="minorEastAsia" w:hAnsiTheme="minorEastAsia"/>
          <w:sz w:val="24"/>
          <w:lang w:val="en-US" w:eastAsia="zh-CN"/>
        </w:rPr>
        <w:t>16</w:t>
      </w:r>
      <w:r>
        <w:rPr>
          <w:rFonts w:hint="eastAsia" w:asciiTheme="minorEastAsia" w:hAnsiTheme="minorEastAsia" w:eastAsiaTheme="minorEastAsia"/>
          <w:sz w:val="24"/>
        </w:rPr>
        <w:t>学时，</w:t>
      </w:r>
      <w:r>
        <w:rPr>
          <w:rFonts w:hint="eastAsia" w:asciiTheme="minorEastAsia" w:hAnsiTheme="minorEastAsia"/>
          <w:sz w:val="24"/>
          <w:lang w:val="en-US" w:eastAsia="zh-CN"/>
        </w:rPr>
        <w:t>1</w:t>
      </w:r>
      <w:r>
        <w:rPr>
          <w:rFonts w:hint="eastAsia" w:asciiTheme="minorEastAsia" w:hAnsiTheme="minorEastAsia" w:eastAsiaTheme="minorEastAsia"/>
          <w:sz w:val="24"/>
        </w:rPr>
        <w:t>.0学分）</w:t>
      </w:r>
    </w:p>
    <w:p>
      <w:pPr>
        <w:spacing w:line="360" w:lineRule="auto"/>
        <w:ind w:firstLine="480" w:firstLineChars="200"/>
        <w:jc w:val="left"/>
        <w:rPr>
          <w:rFonts w:asciiTheme="minorEastAsia" w:hAnsiTheme="minorEastAsia" w:eastAsiaTheme="minorEastAsia"/>
          <w:b/>
          <w:bCs/>
          <w:sz w:val="24"/>
        </w:rPr>
      </w:pPr>
      <w:r>
        <w:rPr>
          <w:rFonts w:hint="eastAsia" w:asciiTheme="minorEastAsia" w:hAnsiTheme="minorEastAsia" w:eastAsiaTheme="minorEastAsia"/>
          <w:bCs/>
          <w:sz w:val="24"/>
        </w:rPr>
        <w:t>《作业治疗技术》是康复治疗技术专业必修的一门重要专业核心课程。其任务是通过本课程的学习,使同学们掌握常见疾病和功能障碍的作业评估及作业治疗技能，培养学生良好的工作态度，人际沟通能力和协作精神。切实提高学生解决实际问题的能力，为将来其走上临床打下基础。</w:t>
      </w:r>
    </w:p>
    <w:p>
      <w:pPr>
        <w:spacing w:line="360" w:lineRule="auto"/>
        <w:ind w:firstLine="480" w:firstLineChars="200"/>
        <w:jc w:val="left"/>
        <w:rPr>
          <w:rFonts w:hint="eastAsia" w:ascii="宋体" w:hAnsi="宋体" w:eastAsia="宋体" w:cs="宋体"/>
          <w:color w:val="000000"/>
          <w:kern w:val="0"/>
          <w:sz w:val="24"/>
        </w:rPr>
      </w:pPr>
      <w:r>
        <w:rPr>
          <w:rFonts w:hint="eastAsia" w:asciiTheme="minorEastAsia" w:hAnsiTheme="minorEastAsia" w:eastAsiaTheme="minorEastAsia"/>
          <w:bCs/>
          <w:sz w:val="24"/>
        </w:rPr>
        <w:t>本课程主要内容包括作业治疗的概念、目的、特点、分类、对象、评估方法及感知技能训练、运动技能训练、生活技能训练、工作与职业技能训练、工艺与园艺疗法、压力治疗、认知技能训练、作业治疗用具及辅助设备的使用等。</w:t>
      </w:r>
    </w:p>
    <w:p>
      <w:pPr>
        <w:adjustRightInd w:val="0"/>
        <w:snapToGrid w:val="0"/>
        <w:spacing w:line="360" w:lineRule="auto"/>
        <w:ind w:firstLine="480" w:firstLineChars="200"/>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9.性与生殖健康</w:t>
      </w:r>
      <w:r>
        <w:rPr>
          <w:rFonts w:hint="eastAsia" w:asciiTheme="minorEastAsia" w:hAnsiTheme="minorEastAsia" w:eastAsiaTheme="minorEastAsia"/>
          <w:sz w:val="24"/>
        </w:rPr>
        <w:t>（</w:t>
      </w:r>
      <w:r>
        <w:rPr>
          <w:rFonts w:hint="eastAsia" w:asciiTheme="minorEastAsia" w:hAnsiTheme="minorEastAsia"/>
          <w:sz w:val="24"/>
          <w:lang w:val="en-US" w:eastAsia="zh-CN"/>
        </w:rPr>
        <w:t>16</w:t>
      </w:r>
      <w:r>
        <w:rPr>
          <w:rFonts w:hint="eastAsia" w:asciiTheme="minorEastAsia" w:hAnsiTheme="minorEastAsia" w:eastAsiaTheme="minorEastAsia"/>
          <w:sz w:val="24"/>
        </w:rPr>
        <w:t>学时，</w:t>
      </w:r>
      <w:r>
        <w:rPr>
          <w:rFonts w:hint="eastAsia" w:asciiTheme="minorEastAsia" w:hAnsiTheme="minorEastAsia"/>
          <w:sz w:val="24"/>
          <w:lang w:val="en-US" w:eastAsia="zh-CN"/>
        </w:rPr>
        <w:t>1</w:t>
      </w:r>
      <w:r>
        <w:rPr>
          <w:rFonts w:hint="eastAsia" w:asciiTheme="minorEastAsia" w:hAnsiTheme="minorEastAsia" w:eastAsiaTheme="minorEastAsia"/>
          <w:sz w:val="24"/>
        </w:rPr>
        <w:t>.0学分）</w:t>
      </w:r>
    </w:p>
    <w:p>
      <w:pPr>
        <w:adjustRightInd w:val="0"/>
        <w:snapToGrid w:val="0"/>
        <w:spacing w:line="360" w:lineRule="auto"/>
        <w:ind w:firstLine="480" w:firstLineChars="200"/>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rPr>
        <w:t>本课程以坦诚、直接的态度陈述科学事实，聚焦性知识也是知识，从学生关注的问题切入，以道德追问，引发思考。弥补性生理、性心理、性伦理的贫乏，理解生命、减少困惑。让学生学会自重自爱、学会自我保护，学会情绪管理。建全健康人格接纳自我，尊重异性。适应性角色，培养健康性价值观。</w:t>
      </w:r>
    </w:p>
    <w:p>
      <w:pPr>
        <w:adjustRightInd w:val="0"/>
        <w:snapToGrid w:val="0"/>
        <w:spacing w:line="360" w:lineRule="auto"/>
        <w:ind w:firstLine="480" w:firstLineChars="200"/>
        <w:rPr>
          <w:rFonts w:hint="default"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10.营养配餐和烹饪</w:t>
      </w:r>
      <w:r>
        <w:rPr>
          <w:rFonts w:hint="eastAsia" w:asciiTheme="minorEastAsia" w:hAnsiTheme="minorEastAsia" w:eastAsiaTheme="minorEastAsia"/>
          <w:sz w:val="24"/>
        </w:rPr>
        <w:t>（</w:t>
      </w:r>
      <w:r>
        <w:rPr>
          <w:rFonts w:hint="eastAsia" w:asciiTheme="minorEastAsia" w:hAnsiTheme="minorEastAsia"/>
          <w:sz w:val="24"/>
          <w:lang w:val="en-US" w:eastAsia="zh-CN"/>
        </w:rPr>
        <w:t>16</w:t>
      </w:r>
      <w:r>
        <w:rPr>
          <w:rFonts w:hint="eastAsia" w:asciiTheme="minorEastAsia" w:hAnsiTheme="minorEastAsia" w:eastAsiaTheme="minorEastAsia"/>
          <w:sz w:val="24"/>
        </w:rPr>
        <w:t>学时，</w:t>
      </w:r>
      <w:r>
        <w:rPr>
          <w:rFonts w:hint="eastAsia" w:asciiTheme="minorEastAsia" w:hAnsiTheme="minorEastAsia"/>
          <w:sz w:val="24"/>
          <w:lang w:val="en-US" w:eastAsia="zh-CN"/>
        </w:rPr>
        <w:t>1</w:t>
      </w:r>
      <w:r>
        <w:rPr>
          <w:rFonts w:hint="eastAsia" w:asciiTheme="minorEastAsia" w:hAnsiTheme="minorEastAsia" w:eastAsiaTheme="minorEastAsia"/>
          <w:sz w:val="24"/>
        </w:rPr>
        <w:t>.0学分）</w:t>
      </w:r>
    </w:p>
    <w:p>
      <w:pPr>
        <w:adjustRightInd w:val="0"/>
        <w:snapToGrid w:val="0"/>
        <w:spacing w:line="360" w:lineRule="auto"/>
        <w:ind w:firstLine="480" w:firstLineChars="200"/>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本门课程主要通过对营养素、人体体格检查、营养配餐的计算调整以及中国居民膳食指南等方面来研究人体营养的学科。旨在教会学生掌握营养调查与分析的方法、能推荐合理营养搭配及标准膳食营养搭配方案、能够给个体和群体编制食谱，并在以上基础上对一定的特殊人群进行营养指导。</w:t>
      </w:r>
    </w:p>
    <w:p>
      <w:pPr>
        <w:adjustRightInd w:val="0"/>
        <w:snapToGrid w:val="0"/>
        <w:spacing w:line="360" w:lineRule="auto"/>
        <w:ind w:firstLine="480" w:firstLineChars="200"/>
        <w:rPr>
          <w:rFonts w:hint="eastAsia" w:ascii="宋体" w:hAnsi="宋体" w:eastAsia="宋体" w:cs="宋体"/>
          <w:color w:val="000000"/>
          <w:kern w:val="0"/>
          <w:sz w:val="24"/>
        </w:rPr>
      </w:pPr>
      <w:r>
        <w:rPr>
          <w:rFonts w:hint="eastAsia" w:ascii="宋体" w:hAnsi="宋体" w:eastAsia="宋体" w:cs="宋体"/>
          <w:color w:val="000000"/>
          <w:kern w:val="0"/>
          <w:sz w:val="24"/>
          <w:lang w:val="en-US" w:eastAsia="zh-CN"/>
        </w:rPr>
        <w:t>11.</w:t>
      </w:r>
      <w:r>
        <w:rPr>
          <w:rFonts w:hint="eastAsia" w:ascii="宋体" w:hAnsi="宋体" w:eastAsia="宋体" w:cs="宋体"/>
          <w:color w:val="000000"/>
          <w:kern w:val="0"/>
          <w:sz w:val="24"/>
        </w:rPr>
        <w:t>《中医药与中华传统文化》（16学时，1.0学分）</w:t>
      </w:r>
    </w:p>
    <w:p>
      <w:pPr>
        <w:adjustRightInd w:val="0"/>
        <w:snapToGrid w:val="0"/>
        <w:spacing w:line="360" w:lineRule="auto"/>
        <w:ind w:firstLine="480" w:firstLineChars="200"/>
        <w:rPr>
          <w:rFonts w:ascii="宋体" w:hAnsi="宋体" w:eastAsia="宋体" w:cs="宋体"/>
          <w:color w:val="000000"/>
          <w:kern w:val="0"/>
          <w:sz w:val="24"/>
        </w:rPr>
      </w:pPr>
      <w:r>
        <w:rPr>
          <w:rFonts w:ascii="宋体" w:hAnsi="宋体" w:eastAsia="宋体" w:cs="宋体"/>
          <w:color w:val="000000"/>
          <w:kern w:val="0"/>
          <w:sz w:val="24"/>
        </w:rPr>
        <w:t>本课程</w:t>
      </w:r>
      <w:r>
        <w:rPr>
          <w:rFonts w:hint="eastAsia" w:ascii="宋体" w:hAnsi="宋体" w:eastAsia="宋体" w:cs="宋体"/>
          <w:color w:val="000000"/>
          <w:kern w:val="0"/>
          <w:sz w:val="24"/>
        </w:rPr>
        <w:t>课程介绍中国传统医药基本原理，特色理论、思想，思维方式及其产生、发展的自然条件和社会文化背景，既提供了从中医药学了解中华传统文化的视角，又让学习者从中华传统文化大背景下思考中医药学的历史和未来。本门课程的教学目的，是使学生了解中医药的文化基因。</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lang w:val="en-US" w:eastAsia="zh-CN"/>
        </w:rPr>
        <w:t>12.</w:t>
      </w:r>
      <w:r>
        <w:rPr>
          <w:rFonts w:hint="eastAsia" w:ascii="宋体" w:hAnsi="宋体" w:eastAsia="宋体" w:cs="宋体"/>
          <w:color w:val="000000"/>
          <w:kern w:val="0"/>
          <w:sz w:val="24"/>
        </w:rPr>
        <w:t>《医患沟通》（16学时，1.0学分）</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通过本课程的学习，使学生掌握沟通能力和生活、学习礼仪素养，使其能够和患者、患者家属快乐相处。本课程的主要内容有认识自我及人际沟通技巧、处理压力的原则方法、团队合作的技巧及处理医患冲突的办法等。</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lang w:val="en-US" w:eastAsia="zh-CN"/>
        </w:rPr>
        <w:t>13.</w:t>
      </w:r>
      <w:r>
        <w:rPr>
          <w:rFonts w:hint="eastAsia" w:ascii="宋体" w:hAnsi="宋体" w:eastAsia="宋体" w:cs="宋体"/>
          <w:color w:val="000000"/>
          <w:kern w:val="0"/>
          <w:sz w:val="24"/>
        </w:rPr>
        <w:t>《双创训练营》（32学时，2.0学分）</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rPr>
        <w:t>本课程是将创新创业课程与创新创业实践活动相结合，开发大学生潜能，务实服务大学生创新创业，激发大学生的“双创”意识、培养大学生的“双创”能力、拓展大学生“双创”视野，在实训过程中能实践双创项目准备过程，课程结束后能在老师的指导下完成双创项目的构建。</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lang w:val="en-US" w:eastAsia="zh-CN"/>
        </w:rPr>
        <w:t>14.</w:t>
      </w:r>
      <w:r>
        <w:rPr>
          <w:rFonts w:hint="eastAsia" w:ascii="宋体" w:hAnsi="宋体" w:eastAsia="宋体" w:cs="宋体"/>
          <w:color w:val="000000"/>
          <w:sz w:val="24"/>
        </w:rPr>
        <w:t>《应用写作》（16学时，1.0学分）</w:t>
      </w:r>
    </w:p>
    <w:p>
      <w:pPr>
        <w:adjustRightInd w:val="0"/>
        <w:snapToGrid w:val="0"/>
        <w:spacing w:line="360" w:lineRule="auto"/>
        <w:ind w:firstLine="480" w:firstLineChars="200"/>
        <w:rPr>
          <w:rFonts w:ascii="宋体" w:hAnsi="宋体" w:eastAsia="宋体" w:cs="宋体"/>
          <w:color w:val="000000"/>
          <w:sz w:val="24"/>
        </w:rPr>
      </w:pPr>
      <w:r>
        <w:rPr>
          <w:rFonts w:hint="eastAsia" w:ascii="宋体" w:hAnsi="宋体" w:eastAsia="宋体" w:cs="宋体"/>
          <w:color w:val="000000"/>
          <w:sz w:val="24"/>
        </w:rPr>
        <w:t>本课程介绍了各类应用文的特点、写法和写作注意事项。通过本课程学习，学生掌握应用文的文风、语法、修辞、逻辑、标点、数字运用等写作技巧问题，提高其在职场中的写作能力。</w:t>
      </w:r>
    </w:p>
    <w:p>
      <w:pPr>
        <w:adjustRightInd w:val="0"/>
        <w:snapToGrid w:val="0"/>
        <w:spacing w:line="360" w:lineRule="auto"/>
        <w:ind w:firstLine="480" w:firstLineChars="200"/>
        <w:rPr>
          <w:rFonts w:ascii="宋体" w:hAnsi="宋体"/>
          <w:sz w:val="24"/>
        </w:rPr>
      </w:pPr>
      <w:r>
        <w:rPr>
          <w:rFonts w:hint="eastAsia" w:ascii="宋体" w:hAnsi="宋体"/>
          <w:sz w:val="24"/>
        </w:rPr>
        <w:t>1</w:t>
      </w:r>
      <w:r>
        <w:rPr>
          <w:rFonts w:hint="eastAsia" w:ascii="宋体" w:hAnsi="宋体"/>
          <w:sz w:val="24"/>
          <w:lang w:val="en-US" w:eastAsia="zh-CN"/>
        </w:rPr>
        <w:t>5.</w:t>
      </w:r>
      <w:r>
        <w:rPr>
          <w:rFonts w:hint="eastAsia" w:ascii="宋体" w:hAnsi="宋体"/>
          <w:sz w:val="24"/>
        </w:rPr>
        <w:t>《经典诵读》（16学时，1.0学分）</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本课程作为职业院校创新素质教育诵读教材，选录了许多经典文章和诗词歌赋，也详细地介绍了诵读的基本知识、诵读示例的诵读技巧。选文和知识讲解突出了可读性、针对性、教育性、实践性。</w:t>
      </w:r>
    </w:p>
    <w:p>
      <w:pPr>
        <w:adjustRightInd w:val="0"/>
        <w:snapToGrid w:val="0"/>
        <w:spacing w:line="360" w:lineRule="auto"/>
        <w:ind w:firstLine="480" w:firstLineChars="200"/>
        <w:rPr>
          <w:rFonts w:ascii="宋体" w:hAnsi="宋体" w:eastAsia="宋体" w:cs="宋体"/>
          <w:color w:val="000000"/>
          <w:kern w:val="0"/>
          <w:sz w:val="24"/>
        </w:rPr>
      </w:pPr>
      <w:r>
        <w:rPr>
          <w:rFonts w:hint="eastAsia" w:ascii="宋体" w:hAnsi="宋体" w:eastAsia="宋体" w:cs="宋体"/>
          <w:color w:val="000000"/>
          <w:kern w:val="0"/>
          <w:sz w:val="24"/>
          <w:lang w:val="en-US" w:eastAsia="zh-CN"/>
        </w:rPr>
        <w:t>16</w:t>
      </w:r>
      <w:r>
        <w:rPr>
          <w:rFonts w:hint="eastAsia" w:ascii="宋体" w:hAnsi="宋体" w:eastAsia="宋体" w:cs="宋体"/>
          <w:color w:val="000000"/>
          <w:kern w:val="0"/>
          <w:sz w:val="24"/>
        </w:rPr>
        <w:t>.《</w:t>
      </w:r>
      <w:r>
        <w:rPr>
          <w:rFonts w:hint="eastAsia" w:ascii="宋体" w:hAnsi="宋体" w:eastAsia="宋体" w:cs="宋体"/>
          <w:color w:val="000000"/>
          <w:kern w:val="0"/>
          <w:sz w:val="24"/>
          <w:lang w:val="en-US" w:eastAsia="zh-CN"/>
        </w:rPr>
        <w:t>社会学</w:t>
      </w:r>
      <w:r>
        <w:rPr>
          <w:rFonts w:hint="eastAsia" w:ascii="宋体" w:hAnsi="宋体" w:eastAsia="宋体" w:cs="宋体"/>
          <w:color w:val="000000"/>
          <w:kern w:val="0"/>
          <w:sz w:val="24"/>
        </w:rPr>
        <w:t>》（16学时，1.0学分）</w:t>
      </w:r>
    </w:p>
    <w:p>
      <w:pPr>
        <w:adjustRightInd w:val="0"/>
        <w:snapToGrid w:val="0"/>
        <w:spacing w:line="360" w:lineRule="auto"/>
        <w:ind w:firstLine="480" w:firstLineChars="200"/>
        <w:rPr>
          <w:rFonts w:hint="eastAsia" w:ascii="宋体" w:hAnsi="宋体" w:eastAsia="宋体" w:cs="Times New Roman"/>
          <w:b/>
          <w:bCs/>
          <w:sz w:val="24"/>
        </w:rPr>
      </w:pPr>
      <w:r>
        <w:rPr>
          <w:rFonts w:hint="eastAsia" w:ascii="宋体" w:hAnsi="宋体" w:cs="宋体"/>
          <w:sz w:val="24"/>
        </w:rPr>
        <w:t>社会学是对社会进行综合性研究的学科,是社会科学的重要组成部分。本课程以社会和自我的相互关系为理论主线</w:t>
      </w:r>
      <w:r>
        <w:rPr>
          <w:rFonts w:hint="eastAsia" w:ascii="宋体" w:hAnsi="宋体" w:cs="宋体"/>
          <w:sz w:val="24"/>
          <w:lang w:eastAsia="zh-CN"/>
        </w:rPr>
        <w:t>，</w:t>
      </w:r>
      <w:r>
        <w:rPr>
          <w:rFonts w:hint="eastAsia" w:ascii="宋体" w:hAnsi="宋体" w:cs="宋体"/>
          <w:sz w:val="24"/>
        </w:rPr>
        <w:t>从静态的社会要素和社会关系</w:t>
      </w:r>
      <w:r>
        <w:rPr>
          <w:rFonts w:hint="eastAsia" w:ascii="宋体" w:hAnsi="宋体" w:cs="宋体"/>
          <w:sz w:val="24"/>
          <w:lang w:eastAsia="zh-CN"/>
        </w:rPr>
        <w:t>、</w:t>
      </w:r>
      <w:r>
        <w:rPr>
          <w:rFonts w:hint="eastAsia" w:ascii="宋体" w:hAnsi="宋体" w:cs="宋体"/>
          <w:sz w:val="24"/>
        </w:rPr>
        <w:t>动态的社会结构化方式和社会运行过程入手</w:t>
      </w:r>
      <w:r>
        <w:rPr>
          <w:rFonts w:hint="eastAsia" w:ascii="宋体" w:hAnsi="宋体" w:cs="宋体"/>
          <w:sz w:val="24"/>
          <w:lang w:eastAsia="zh-CN"/>
        </w:rPr>
        <w:t>，</w:t>
      </w:r>
      <w:r>
        <w:rPr>
          <w:rFonts w:hint="eastAsia" w:ascii="宋体" w:hAnsi="宋体" w:cs="宋体"/>
          <w:sz w:val="24"/>
        </w:rPr>
        <w:t>在宏观与微观两个层面对社会学的基本问题进行较为系统全面的阐释</w:t>
      </w:r>
      <w:r>
        <w:rPr>
          <w:rFonts w:hint="eastAsia" w:ascii="宋体" w:hAnsi="宋体" w:cs="宋体"/>
          <w:sz w:val="24"/>
          <w:lang w:eastAsia="zh-CN"/>
        </w:rPr>
        <w:t>，</w:t>
      </w:r>
      <w:r>
        <w:rPr>
          <w:rFonts w:hint="eastAsia" w:ascii="宋体" w:hAnsi="宋体" w:cs="宋体"/>
          <w:sz w:val="24"/>
        </w:rPr>
        <w:t>使学生可以系统地掌握社会学的基本理论、概念和范畴</w:t>
      </w:r>
      <w:r>
        <w:rPr>
          <w:rFonts w:hint="eastAsia" w:ascii="宋体" w:hAnsi="宋体" w:cs="宋体"/>
          <w:sz w:val="24"/>
          <w:lang w:eastAsia="zh-CN"/>
        </w:rPr>
        <w:t>，</w:t>
      </w:r>
      <w:r>
        <w:rPr>
          <w:rFonts w:hint="eastAsia" w:ascii="宋体" w:hAnsi="宋体" w:cs="宋体"/>
          <w:sz w:val="24"/>
        </w:rPr>
        <w:t>获得认识、观察和理解社会的基本方法与视角。让学生了解社会学的研究领域和研究方法</w:t>
      </w:r>
      <w:r>
        <w:rPr>
          <w:rFonts w:hint="eastAsia" w:ascii="宋体" w:hAnsi="宋体" w:cs="宋体"/>
          <w:sz w:val="24"/>
          <w:lang w:eastAsia="zh-CN"/>
        </w:rPr>
        <w:t>，</w:t>
      </w:r>
      <w:r>
        <w:rPr>
          <w:rFonts w:hint="eastAsia" w:ascii="宋体" w:hAnsi="宋体" w:cs="宋体"/>
          <w:sz w:val="24"/>
        </w:rPr>
        <w:t>掌握社会学的基础知识</w:t>
      </w:r>
      <w:r>
        <w:rPr>
          <w:rFonts w:hint="eastAsia" w:ascii="宋体" w:hAnsi="宋体" w:cs="宋体"/>
          <w:sz w:val="24"/>
          <w:lang w:eastAsia="zh-CN"/>
        </w:rPr>
        <w:t>；</w:t>
      </w:r>
      <w:r>
        <w:rPr>
          <w:rFonts w:hint="eastAsia" w:ascii="宋体" w:hAnsi="宋体" w:cs="宋体"/>
          <w:sz w:val="24"/>
        </w:rPr>
        <w:t>培养学生运用社会学的观点、社会学的理论和概念来分析和认识社会现象，增强他们分析和解决社会问题的能力，为专业知识的进一步学习打好基础。</w:t>
      </w:r>
    </w:p>
    <w:p>
      <w:pPr>
        <w:spacing w:line="360" w:lineRule="auto"/>
        <w:ind w:firstLine="482" w:firstLineChars="200"/>
        <w:jc w:val="left"/>
        <w:rPr>
          <w:rFonts w:ascii="宋体" w:hAnsi="宋体" w:eastAsia="宋体" w:cs="Times New Roman"/>
          <w:b/>
          <w:bCs/>
          <w:sz w:val="24"/>
        </w:rPr>
      </w:pPr>
      <w:r>
        <w:rPr>
          <w:rFonts w:hint="eastAsia" w:ascii="宋体" w:hAnsi="宋体" w:eastAsia="宋体" w:cs="Times New Roman"/>
          <w:b/>
          <w:bCs/>
          <w:sz w:val="24"/>
        </w:rPr>
        <w:t>七、</w:t>
      </w:r>
      <w:r>
        <w:rPr>
          <w:rFonts w:ascii="宋体" w:hAnsi="宋体" w:eastAsia="宋体" w:cs="Times New Roman"/>
          <w:b/>
          <w:bCs/>
          <w:sz w:val="24"/>
        </w:rPr>
        <w:t>教学</w:t>
      </w:r>
      <w:r>
        <w:rPr>
          <w:rFonts w:hint="eastAsia" w:ascii="宋体" w:hAnsi="宋体" w:eastAsia="宋体" w:cs="Times New Roman"/>
          <w:b/>
          <w:bCs/>
          <w:sz w:val="24"/>
        </w:rPr>
        <w:t>进程总体</w:t>
      </w:r>
      <w:r>
        <w:rPr>
          <w:rFonts w:ascii="宋体" w:hAnsi="宋体" w:eastAsia="宋体" w:cs="Times New Roman"/>
          <w:b/>
          <w:bCs/>
          <w:sz w:val="24"/>
        </w:rPr>
        <w:t>安排</w:t>
      </w:r>
    </w:p>
    <w:p>
      <w:pPr>
        <w:adjustRightInd w:val="0"/>
        <w:snapToGrid w:val="0"/>
        <w:spacing w:line="360" w:lineRule="auto"/>
        <w:ind w:firstLine="482" w:firstLineChars="200"/>
        <w:jc w:val="left"/>
        <w:rPr>
          <w:rFonts w:ascii="宋体" w:hAnsi="宋体" w:eastAsia="宋体" w:cs="Times New Roman"/>
          <w:b/>
          <w:sz w:val="24"/>
        </w:rPr>
      </w:pPr>
      <w:r>
        <w:rPr>
          <w:rFonts w:hint="eastAsia" w:ascii="宋体" w:hAnsi="宋体" w:eastAsia="宋体" w:cs="Times New Roman"/>
          <w:b/>
          <w:sz w:val="24"/>
        </w:rPr>
        <w:t>（一）教学活动时间分配表</w:t>
      </w:r>
    </w:p>
    <w:p>
      <w:pPr>
        <w:adjustRightInd w:val="0"/>
        <w:snapToGrid w:val="0"/>
        <w:spacing w:line="360" w:lineRule="auto"/>
        <w:ind w:firstLine="482" w:firstLineChars="200"/>
        <w:jc w:val="center"/>
        <w:rPr>
          <w:rFonts w:ascii="宋体" w:hAnsi="宋体" w:eastAsia="宋体" w:cs="Times New Roman"/>
          <w:b/>
          <w:sz w:val="24"/>
        </w:rPr>
      </w:pPr>
      <w:r>
        <w:rPr>
          <w:rFonts w:hint="eastAsia" w:ascii="宋体" w:hAnsi="宋体" w:eastAsia="宋体" w:cs="Times New Roman"/>
          <w:b/>
          <w:sz w:val="24"/>
        </w:rPr>
        <w:t>表3 学时分配表</w:t>
      </w:r>
    </w:p>
    <w:tbl>
      <w:tblPr>
        <w:tblStyle w:val="5"/>
        <w:tblW w:w="9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95"/>
        <w:gridCol w:w="1066"/>
        <w:gridCol w:w="1548"/>
        <w:gridCol w:w="1550"/>
        <w:gridCol w:w="1805"/>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995" w:type="dxa"/>
            <w:vMerge w:val="restart"/>
            <w:vAlign w:val="center"/>
          </w:tcPr>
          <w:p>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模块</w:t>
            </w:r>
          </w:p>
        </w:tc>
        <w:tc>
          <w:tcPr>
            <w:tcW w:w="1066" w:type="dxa"/>
            <w:vMerge w:val="restart"/>
            <w:vAlign w:val="center"/>
          </w:tcPr>
          <w:p>
            <w:pPr>
              <w:widowControl/>
              <w:spacing w:line="360" w:lineRule="auto"/>
              <w:ind w:firstLine="199" w:firstLineChars="83"/>
              <w:jc w:val="left"/>
              <w:rPr>
                <w:rFonts w:hint="eastAsia" w:ascii="宋体" w:hAnsi="宋体" w:eastAsia="宋体" w:cs="宋体"/>
                <w:kern w:val="0"/>
                <w:sz w:val="24"/>
                <w:szCs w:val="24"/>
              </w:rPr>
            </w:pPr>
            <w:r>
              <w:rPr>
                <w:rFonts w:hint="eastAsia" w:ascii="宋体" w:hAnsi="宋体" w:eastAsia="宋体" w:cs="宋体"/>
                <w:kern w:val="0"/>
                <w:sz w:val="24"/>
                <w:szCs w:val="24"/>
              </w:rPr>
              <w:t>性质</w:t>
            </w:r>
          </w:p>
        </w:tc>
        <w:tc>
          <w:tcPr>
            <w:tcW w:w="4903" w:type="dxa"/>
            <w:gridSpan w:val="3"/>
            <w:vAlign w:val="center"/>
          </w:tcPr>
          <w:p>
            <w:pPr>
              <w:widowControl/>
              <w:spacing w:line="360" w:lineRule="auto"/>
              <w:ind w:firstLine="480"/>
              <w:jc w:val="center"/>
              <w:rPr>
                <w:rFonts w:hint="eastAsia" w:ascii="宋体" w:hAnsi="宋体" w:eastAsia="宋体" w:cs="宋体"/>
                <w:kern w:val="0"/>
                <w:sz w:val="24"/>
                <w:szCs w:val="24"/>
              </w:rPr>
            </w:pPr>
            <w:r>
              <w:rPr>
                <w:rFonts w:hint="eastAsia" w:ascii="宋体" w:hAnsi="宋体" w:eastAsia="宋体" w:cs="宋体"/>
                <w:kern w:val="0"/>
                <w:sz w:val="24"/>
                <w:szCs w:val="24"/>
              </w:rPr>
              <w:t>学时数</w:t>
            </w:r>
          </w:p>
        </w:tc>
        <w:tc>
          <w:tcPr>
            <w:tcW w:w="1782" w:type="dxa"/>
            <w:vMerge w:val="restart"/>
            <w:vAlign w:val="center"/>
          </w:tcPr>
          <w:p>
            <w:pPr>
              <w:widowControl/>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占总学时的百分比（%）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995" w:type="dxa"/>
            <w:vMerge w:val="continue"/>
            <w:vAlign w:val="center"/>
          </w:tcPr>
          <w:p>
            <w:pPr>
              <w:widowControl/>
              <w:spacing w:line="360" w:lineRule="auto"/>
              <w:ind w:firstLine="480"/>
              <w:jc w:val="center"/>
              <w:rPr>
                <w:rFonts w:hint="eastAsia" w:ascii="宋体" w:hAnsi="宋体" w:eastAsia="宋体" w:cs="宋体"/>
                <w:kern w:val="0"/>
                <w:sz w:val="24"/>
                <w:szCs w:val="24"/>
              </w:rPr>
            </w:pPr>
          </w:p>
        </w:tc>
        <w:tc>
          <w:tcPr>
            <w:tcW w:w="1066" w:type="dxa"/>
            <w:vMerge w:val="continue"/>
            <w:vAlign w:val="center"/>
          </w:tcPr>
          <w:p>
            <w:pPr>
              <w:widowControl/>
              <w:spacing w:line="360" w:lineRule="auto"/>
              <w:ind w:firstLine="480"/>
              <w:jc w:val="left"/>
              <w:rPr>
                <w:rFonts w:hint="eastAsia" w:ascii="宋体" w:hAnsi="宋体" w:eastAsia="宋体" w:cs="宋体"/>
                <w:kern w:val="0"/>
                <w:sz w:val="24"/>
                <w:szCs w:val="24"/>
              </w:rPr>
            </w:pPr>
          </w:p>
        </w:tc>
        <w:tc>
          <w:tcPr>
            <w:tcW w:w="1548" w:type="dxa"/>
            <w:vAlign w:val="center"/>
          </w:tcPr>
          <w:p>
            <w:pPr>
              <w:widowControl/>
              <w:spacing w:line="360" w:lineRule="auto"/>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理论</w:t>
            </w:r>
          </w:p>
        </w:tc>
        <w:tc>
          <w:tcPr>
            <w:tcW w:w="1550" w:type="dxa"/>
            <w:vAlign w:val="center"/>
          </w:tcPr>
          <w:p>
            <w:pPr>
              <w:widowControl/>
              <w:spacing w:line="360" w:lineRule="auto"/>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实践</w:t>
            </w:r>
          </w:p>
        </w:tc>
        <w:tc>
          <w:tcPr>
            <w:tcW w:w="1805" w:type="dxa"/>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理/实比例</w:t>
            </w:r>
          </w:p>
        </w:tc>
        <w:tc>
          <w:tcPr>
            <w:tcW w:w="1782" w:type="dxa"/>
            <w:vMerge w:val="continue"/>
            <w:vAlign w:val="center"/>
          </w:tcPr>
          <w:p>
            <w:pPr>
              <w:widowControl/>
              <w:spacing w:line="360" w:lineRule="auto"/>
              <w:ind w:firstLine="480"/>
              <w:jc w:val="left"/>
              <w:rPr>
                <w:rFonts w:hint="eastAsia"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995" w:type="dxa"/>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公共课模块</w:t>
            </w:r>
          </w:p>
        </w:tc>
        <w:tc>
          <w:tcPr>
            <w:tcW w:w="1066" w:type="dxa"/>
            <w:vAlign w:val="center"/>
          </w:tcPr>
          <w:p>
            <w:pPr>
              <w:widowControl/>
              <w:spacing w:line="360" w:lineRule="auto"/>
              <w:ind w:firstLine="199" w:firstLineChars="83"/>
              <w:jc w:val="left"/>
              <w:rPr>
                <w:rFonts w:hint="eastAsia" w:ascii="宋体" w:hAnsi="宋体" w:eastAsia="宋体" w:cs="宋体"/>
                <w:kern w:val="0"/>
                <w:sz w:val="24"/>
                <w:szCs w:val="24"/>
              </w:rPr>
            </w:pPr>
            <w:r>
              <w:rPr>
                <w:rFonts w:hint="eastAsia" w:ascii="宋体" w:hAnsi="宋体" w:eastAsia="宋体" w:cs="宋体"/>
                <w:kern w:val="0"/>
                <w:sz w:val="24"/>
                <w:szCs w:val="24"/>
              </w:rPr>
              <w:t>必修</w:t>
            </w:r>
          </w:p>
        </w:tc>
        <w:tc>
          <w:tcPr>
            <w:tcW w:w="1548" w:type="dxa"/>
            <w:vAlign w:val="center"/>
          </w:tcPr>
          <w:p>
            <w:pPr>
              <w:widowControl/>
              <w:spacing w:line="360" w:lineRule="auto"/>
              <w:ind w:firstLine="480"/>
              <w:jc w:val="left"/>
              <w:rPr>
                <w:rFonts w:hint="default" w:ascii="宋体" w:hAnsi="宋体" w:eastAsia="宋体" w:cs="宋体"/>
                <w:kern w:val="0"/>
                <w:sz w:val="24"/>
                <w:szCs w:val="24"/>
                <w:lang w:val="en-US"/>
              </w:rPr>
            </w:pPr>
            <w:r>
              <w:rPr>
                <w:rFonts w:hint="eastAsia" w:ascii="宋体" w:hAnsi="宋体" w:eastAsia="宋体" w:cs="宋体"/>
                <w:kern w:val="0"/>
                <w:sz w:val="24"/>
                <w:szCs w:val="24"/>
              </w:rPr>
              <w:t>3</w:t>
            </w:r>
            <w:r>
              <w:rPr>
                <w:rFonts w:hint="eastAsia" w:ascii="宋体" w:hAnsi="宋体" w:eastAsia="宋体" w:cs="宋体"/>
                <w:kern w:val="0"/>
                <w:sz w:val="24"/>
                <w:szCs w:val="24"/>
                <w:lang w:val="en-US" w:eastAsia="zh-CN"/>
              </w:rPr>
              <w:t>54</w:t>
            </w:r>
          </w:p>
        </w:tc>
        <w:tc>
          <w:tcPr>
            <w:tcW w:w="1550" w:type="dxa"/>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3</w:t>
            </w:r>
            <w:r>
              <w:rPr>
                <w:rFonts w:hint="eastAsia" w:ascii="宋体" w:hAnsi="宋体" w:eastAsia="宋体" w:cs="宋体"/>
                <w:kern w:val="0"/>
                <w:sz w:val="24"/>
                <w:szCs w:val="24"/>
                <w:lang w:val="en-US" w:eastAsia="zh-CN"/>
              </w:rPr>
              <w:t>18</w:t>
            </w:r>
          </w:p>
        </w:tc>
        <w:tc>
          <w:tcPr>
            <w:tcW w:w="1805" w:type="dxa"/>
            <w:vAlign w:val="center"/>
          </w:tcPr>
          <w:p>
            <w:pPr>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/1</w:t>
            </w:r>
          </w:p>
        </w:tc>
        <w:tc>
          <w:tcPr>
            <w:tcW w:w="1782" w:type="dxa"/>
            <w:noWrap/>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w:t>
            </w:r>
            <w:r>
              <w:rPr>
                <w:rFonts w:hint="eastAsia" w:ascii="宋体" w:hAnsi="宋体" w:eastAsia="宋体" w:cs="宋体"/>
                <w:kern w:val="0"/>
                <w:sz w:val="24"/>
                <w:szCs w:val="24"/>
                <w:lang w:val="en-US" w:eastAsia="zh-CN"/>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995" w:type="dxa"/>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专业基础课模块</w:t>
            </w:r>
          </w:p>
        </w:tc>
        <w:tc>
          <w:tcPr>
            <w:tcW w:w="1066" w:type="dxa"/>
            <w:vAlign w:val="center"/>
          </w:tcPr>
          <w:p>
            <w:pPr>
              <w:widowControl/>
              <w:spacing w:line="360" w:lineRule="auto"/>
              <w:ind w:firstLine="199" w:firstLineChars="83"/>
              <w:jc w:val="left"/>
              <w:rPr>
                <w:rFonts w:hint="eastAsia" w:ascii="宋体" w:hAnsi="宋体" w:eastAsia="宋体" w:cs="宋体"/>
                <w:kern w:val="0"/>
                <w:sz w:val="24"/>
                <w:szCs w:val="24"/>
              </w:rPr>
            </w:pPr>
            <w:r>
              <w:rPr>
                <w:rFonts w:hint="eastAsia" w:ascii="宋体" w:hAnsi="宋体" w:eastAsia="宋体" w:cs="宋体"/>
                <w:kern w:val="0"/>
                <w:sz w:val="24"/>
                <w:szCs w:val="24"/>
              </w:rPr>
              <w:t>必修</w:t>
            </w:r>
          </w:p>
        </w:tc>
        <w:tc>
          <w:tcPr>
            <w:tcW w:w="1548" w:type="dxa"/>
            <w:vAlign w:val="center"/>
          </w:tcPr>
          <w:p>
            <w:pPr>
              <w:widowControl/>
              <w:spacing w:line="360" w:lineRule="auto"/>
              <w:ind w:firstLine="480"/>
              <w:jc w:val="left"/>
              <w:rPr>
                <w:rFonts w:hint="eastAsia" w:ascii="宋体" w:hAnsi="宋体" w:eastAsia="宋体" w:cs="宋体"/>
                <w:kern w:val="0"/>
                <w:sz w:val="24"/>
                <w:szCs w:val="24"/>
                <w:lang w:val="en-US"/>
              </w:rPr>
            </w:pPr>
            <w:r>
              <w:rPr>
                <w:rFonts w:hint="eastAsia" w:ascii="宋体" w:hAnsi="宋体" w:eastAsia="宋体" w:cs="宋体"/>
                <w:kern w:val="0"/>
                <w:sz w:val="24"/>
                <w:szCs w:val="24"/>
                <w:lang w:val="en-US" w:eastAsia="zh-CN"/>
              </w:rPr>
              <w:t>298</w:t>
            </w:r>
          </w:p>
        </w:tc>
        <w:tc>
          <w:tcPr>
            <w:tcW w:w="1550" w:type="dxa"/>
            <w:vAlign w:val="center"/>
          </w:tcPr>
          <w:p>
            <w:pPr>
              <w:widowControl/>
              <w:spacing w:line="360" w:lineRule="auto"/>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1805" w:type="dxa"/>
            <w:vAlign w:val="center"/>
          </w:tcPr>
          <w:p>
            <w:pPr>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4.9</w:t>
            </w:r>
            <w:r>
              <w:rPr>
                <w:rFonts w:hint="eastAsia" w:ascii="宋体" w:hAnsi="宋体" w:eastAsia="宋体" w:cs="宋体"/>
                <w:sz w:val="24"/>
                <w:szCs w:val="24"/>
                <w:lang w:val="en-US" w:eastAsia="zh-CN"/>
              </w:rPr>
              <w:t>6</w:t>
            </w:r>
            <w:r>
              <w:rPr>
                <w:rFonts w:hint="eastAsia" w:ascii="宋体" w:hAnsi="宋体" w:eastAsia="宋体" w:cs="宋体"/>
                <w:sz w:val="24"/>
                <w:szCs w:val="24"/>
              </w:rPr>
              <w:t>/1</w:t>
            </w:r>
          </w:p>
        </w:tc>
        <w:tc>
          <w:tcPr>
            <w:tcW w:w="1782" w:type="dxa"/>
            <w:noWrap/>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995" w:type="dxa"/>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专业核心模块</w:t>
            </w:r>
          </w:p>
        </w:tc>
        <w:tc>
          <w:tcPr>
            <w:tcW w:w="1066" w:type="dxa"/>
            <w:vAlign w:val="center"/>
          </w:tcPr>
          <w:p>
            <w:pPr>
              <w:widowControl/>
              <w:spacing w:line="360" w:lineRule="auto"/>
              <w:ind w:firstLine="199" w:firstLineChars="83"/>
              <w:jc w:val="left"/>
              <w:rPr>
                <w:rFonts w:hint="eastAsia" w:ascii="宋体" w:hAnsi="宋体" w:eastAsia="宋体" w:cs="宋体"/>
                <w:kern w:val="0"/>
                <w:sz w:val="24"/>
                <w:szCs w:val="24"/>
              </w:rPr>
            </w:pPr>
            <w:r>
              <w:rPr>
                <w:rFonts w:hint="eastAsia" w:ascii="宋体" w:hAnsi="宋体" w:eastAsia="宋体" w:cs="宋体"/>
                <w:kern w:val="0"/>
                <w:sz w:val="24"/>
                <w:szCs w:val="24"/>
              </w:rPr>
              <w:t>必修</w:t>
            </w:r>
          </w:p>
        </w:tc>
        <w:tc>
          <w:tcPr>
            <w:tcW w:w="1548" w:type="dxa"/>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3</w:t>
            </w:r>
            <w:r>
              <w:rPr>
                <w:rFonts w:hint="eastAsia" w:ascii="宋体" w:hAnsi="宋体" w:eastAsia="宋体" w:cs="宋体"/>
                <w:kern w:val="0"/>
                <w:sz w:val="24"/>
                <w:szCs w:val="24"/>
                <w:lang w:val="en-US" w:eastAsia="zh-CN"/>
              </w:rPr>
              <w:t>02</w:t>
            </w:r>
          </w:p>
        </w:tc>
        <w:tc>
          <w:tcPr>
            <w:tcW w:w="1550" w:type="dxa"/>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5</w:t>
            </w:r>
            <w:r>
              <w:rPr>
                <w:rFonts w:hint="eastAsia" w:ascii="宋体" w:hAnsi="宋体" w:eastAsia="宋体" w:cs="宋体"/>
                <w:kern w:val="0"/>
                <w:sz w:val="24"/>
                <w:szCs w:val="24"/>
              </w:rPr>
              <w:t>2</w:t>
            </w:r>
          </w:p>
        </w:tc>
        <w:tc>
          <w:tcPr>
            <w:tcW w:w="1805" w:type="dxa"/>
            <w:vAlign w:val="center"/>
          </w:tcPr>
          <w:p>
            <w:pPr>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98</w:t>
            </w:r>
            <w:r>
              <w:rPr>
                <w:rFonts w:hint="eastAsia" w:ascii="宋体" w:hAnsi="宋体" w:eastAsia="宋体" w:cs="宋体"/>
                <w:sz w:val="24"/>
                <w:szCs w:val="24"/>
              </w:rPr>
              <w:t>/1</w:t>
            </w:r>
          </w:p>
        </w:tc>
        <w:tc>
          <w:tcPr>
            <w:tcW w:w="1782" w:type="dxa"/>
            <w:noWrap/>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995" w:type="dxa"/>
            <w:vAlign w:val="center"/>
          </w:tcPr>
          <w:p>
            <w:pPr>
              <w:widowControl/>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选修课模块</w:t>
            </w:r>
          </w:p>
        </w:tc>
        <w:tc>
          <w:tcPr>
            <w:tcW w:w="1066" w:type="dxa"/>
            <w:vAlign w:val="center"/>
          </w:tcPr>
          <w:p>
            <w:pPr>
              <w:widowControl/>
              <w:spacing w:line="360" w:lineRule="auto"/>
              <w:ind w:firstLine="199" w:firstLineChars="83"/>
              <w:jc w:val="left"/>
              <w:rPr>
                <w:rFonts w:hint="eastAsia" w:ascii="宋体" w:hAnsi="宋体" w:eastAsia="宋体" w:cs="宋体"/>
                <w:kern w:val="0"/>
                <w:sz w:val="24"/>
                <w:szCs w:val="24"/>
              </w:rPr>
            </w:pPr>
            <w:r>
              <w:rPr>
                <w:rFonts w:hint="eastAsia" w:ascii="宋体" w:hAnsi="宋体" w:eastAsia="宋体" w:cs="宋体"/>
                <w:kern w:val="0"/>
                <w:sz w:val="24"/>
                <w:szCs w:val="24"/>
              </w:rPr>
              <w:t>选修</w:t>
            </w:r>
          </w:p>
        </w:tc>
        <w:tc>
          <w:tcPr>
            <w:tcW w:w="1548" w:type="dxa"/>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150</w:t>
            </w:r>
          </w:p>
        </w:tc>
        <w:tc>
          <w:tcPr>
            <w:tcW w:w="1550" w:type="dxa"/>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w:t>
            </w:r>
          </w:p>
        </w:tc>
        <w:tc>
          <w:tcPr>
            <w:tcW w:w="1805" w:type="dxa"/>
            <w:vAlign w:val="center"/>
          </w:tcPr>
          <w:p>
            <w:pPr>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lang w:val="en-US" w:eastAsia="zh-CN"/>
              </w:rPr>
              <w:t>15.0</w:t>
            </w:r>
            <w:r>
              <w:rPr>
                <w:rFonts w:hint="eastAsia" w:ascii="宋体" w:hAnsi="宋体" w:eastAsia="宋体" w:cs="宋体"/>
                <w:sz w:val="24"/>
                <w:szCs w:val="24"/>
              </w:rPr>
              <w:t>/1</w:t>
            </w:r>
          </w:p>
        </w:tc>
        <w:tc>
          <w:tcPr>
            <w:tcW w:w="1782" w:type="dxa"/>
            <w:noWrap/>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995" w:type="dxa"/>
            <w:vAlign w:val="center"/>
          </w:tcPr>
          <w:p>
            <w:pPr>
              <w:widowControl/>
              <w:spacing w:line="360" w:lineRule="auto"/>
              <w:ind w:firstLine="199" w:firstLineChars="83"/>
              <w:jc w:val="center"/>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岗位</w:t>
            </w:r>
            <w:r>
              <w:rPr>
                <w:rFonts w:hint="eastAsia" w:ascii="宋体" w:hAnsi="宋体" w:eastAsia="宋体" w:cs="宋体"/>
                <w:kern w:val="0"/>
                <w:sz w:val="24"/>
                <w:szCs w:val="24"/>
              </w:rPr>
              <w:t>实习</w:t>
            </w:r>
          </w:p>
        </w:tc>
        <w:tc>
          <w:tcPr>
            <w:tcW w:w="1066" w:type="dxa"/>
            <w:vAlign w:val="center"/>
          </w:tcPr>
          <w:p>
            <w:pPr>
              <w:widowControl/>
              <w:spacing w:line="360" w:lineRule="auto"/>
              <w:ind w:firstLine="199" w:firstLineChars="83"/>
              <w:jc w:val="left"/>
              <w:rPr>
                <w:rFonts w:hint="eastAsia" w:ascii="宋体" w:hAnsi="宋体" w:eastAsia="宋体" w:cs="宋体"/>
                <w:kern w:val="0"/>
                <w:sz w:val="24"/>
                <w:szCs w:val="24"/>
              </w:rPr>
            </w:pPr>
            <w:r>
              <w:rPr>
                <w:rFonts w:hint="eastAsia" w:ascii="宋体" w:hAnsi="宋体" w:eastAsia="宋体" w:cs="宋体"/>
                <w:kern w:val="0"/>
                <w:sz w:val="24"/>
                <w:szCs w:val="24"/>
              </w:rPr>
              <w:t>必修</w:t>
            </w:r>
          </w:p>
        </w:tc>
        <w:tc>
          <w:tcPr>
            <w:tcW w:w="1548" w:type="dxa"/>
            <w:vAlign w:val="center"/>
          </w:tcPr>
          <w:p>
            <w:pPr>
              <w:widowControl/>
              <w:spacing w:line="360" w:lineRule="auto"/>
              <w:ind w:firstLine="480"/>
              <w:jc w:val="left"/>
              <w:rPr>
                <w:rFonts w:hint="eastAsia" w:ascii="宋体" w:hAnsi="宋体" w:eastAsia="宋体" w:cs="宋体"/>
                <w:kern w:val="0"/>
                <w:sz w:val="24"/>
                <w:szCs w:val="24"/>
              </w:rPr>
            </w:pPr>
          </w:p>
        </w:tc>
        <w:tc>
          <w:tcPr>
            <w:tcW w:w="1550" w:type="dxa"/>
            <w:vAlign w:val="center"/>
          </w:tcPr>
          <w:p>
            <w:pPr>
              <w:widowControl/>
              <w:spacing w:line="360" w:lineRule="auto"/>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1200</w:t>
            </w:r>
          </w:p>
        </w:tc>
        <w:tc>
          <w:tcPr>
            <w:tcW w:w="1805" w:type="dxa"/>
            <w:vAlign w:val="center"/>
          </w:tcPr>
          <w:p>
            <w:pPr>
              <w:spacing w:line="360" w:lineRule="auto"/>
              <w:ind w:firstLine="480"/>
              <w:jc w:val="left"/>
              <w:rPr>
                <w:rFonts w:hint="eastAsia" w:ascii="宋体" w:hAnsi="宋体" w:eastAsia="宋体" w:cs="宋体"/>
                <w:sz w:val="24"/>
                <w:szCs w:val="24"/>
              </w:rPr>
            </w:pPr>
          </w:p>
        </w:tc>
        <w:tc>
          <w:tcPr>
            <w:tcW w:w="1782" w:type="dxa"/>
            <w:noWrap/>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1995" w:type="dxa"/>
            <w:vAlign w:val="center"/>
          </w:tcPr>
          <w:p>
            <w:pPr>
              <w:widowControl/>
              <w:spacing w:line="360" w:lineRule="auto"/>
              <w:ind w:firstLine="199" w:firstLineChars="83"/>
              <w:jc w:val="center"/>
              <w:rPr>
                <w:rFonts w:hint="eastAsia" w:ascii="宋体" w:hAnsi="宋体" w:eastAsia="宋体" w:cs="宋体"/>
                <w:kern w:val="0"/>
                <w:sz w:val="24"/>
                <w:szCs w:val="24"/>
              </w:rPr>
            </w:pPr>
            <w:r>
              <w:rPr>
                <w:rFonts w:hint="eastAsia" w:ascii="宋体" w:hAnsi="宋体" w:eastAsia="宋体" w:cs="宋体"/>
                <w:kern w:val="0"/>
                <w:sz w:val="24"/>
                <w:szCs w:val="24"/>
              </w:rPr>
              <w:t>合计</w:t>
            </w:r>
          </w:p>
        </w:tc>
        <w:tc>
          <w:tcPr>
            <w:tcW w:w="1066" w:type="dxa"/>
            <w:vAlign w:val="center"/>
          </w:tcPr>
          <w:p>
            <w:pPr>
              <w:widowControl/>
              <w:spacing w:line="360" w:lineRule="auto"/>
              <w:ind w:firstLine="199" w:firstLineChars="83"/>
              <w:jc w:val="left"/>
              <w:rPr>
                <w:rFonts w:hint="eastAsia" w:ascii="宋体" w:hAnsi="宋体" w:eastAsia="宋体" w:cs="宋体"/>
                <w:kern w:val="0"/>
                <w:sz w:val="24"/>
                <w:szCs w:val="24"/>
              </w:rPr>
            </w:pPr>
          </w:p>
        </w:tc>
        <w:tc>
          <w:tcPr>
            <w:tcW w:w="1548" w:type="dxa"/>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104</w:t>
            </w:r>
          </w:p>
        </w:tc>
        <w:tc>
          <w:tcPr>
            <w:tcW w:w="1550" w:type="dxa"/>
            <w:vAlign w:val="center"/>
          </w:tcPr>
          <w:p>
            <w:pPr>
              <w:widowControl/>
              <w:spacing w:line="360" w:lineRule="auto"/>
              <w:ind w:firstLine="480"/>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17</w:t>
            </w:r>
            <w:r>
              <w:rPr>
                <w:rFonts w:hint="eastAsia" w:ascii="宋体" w:hAnsi="宋体" w:eastAsia="宋体" w:cs="宋体"/>
                <w:kern w:val="0"/>
                <w:sz w:val="24"/>
                <w:szCs w:val="24"/>
                <w:lang w:val="en-US" w:eastAsia="zh-CN"/>
              </w:rPr>
              <w:t>40</w:t>
            </w:r>
          </w:p>
        </w:tc>
        <w:tc>
          <w:tcPr>
            <w:tcW w:w="1805" w:type="dxa"/>
            <w:vAlign w:val="center"/>
          </w:tcPr>
          <w:p>
            <w:pPr>
              <w:spacing w:line="360" w:lineRule="auto"/>
              <w:ind w:firstLine="480"/>
              <w:jc w:val="left"/>
              <w:rPr>
                <w:rFonts w:hint="eastAsia" w:ascii="宋体" w:hAnsi="宋体" w:eastAsia="宋体" w:cs="宋体"/>
                <w:sz w:val="24"/>
                <w:szCs w:val="24"/>
              </w:rPr>
            </w:pPr>
            <w:r>
              <w:rPr>
                <w:rFonts w:hint="eastAsia" w:ascii="宋体" w:hAnsi="宋体" w:eastAsia="宋体" w:cs="宋体"/>
                <w:sz w:val="24"/>
                <w:szCs w:val="24"/>
              </w:rPr>
              <w:t>0.</w:t>
            </w:r>
            <w:r>
              <w:rPr>
                <w:rFonts w:hint="eastAsia" w:ascii="宋体" w:hAnsi="宋体" w:eastAsia="宋体" w:cs="宋体"/>
                <w:sz w:val="24"/>
                <w:szCs w:val="24"/>
                <w:lang w:val="en-US" w:eastAsia="zh-CN"/>
              </w:rPr>
              <w:t>63</w:t>
            </w:r>
            <w:r>
              <w:rPr>
                <w:rFonts w:hint="eastAsia" w:ascii="宋体" w:hAnsi="宋体" w:eastAsia="宋体" w:cs="宋体"/>
                <w:sz w:val="24"/>
                <w:szCs w:val="24"/>
              </w:rPr>
              <w:t>/1</w:t>
            </w:r>
          </w:p>
        </w:tc>
        <w:tc>
          <w:tcPr>
            <w:tcW w:w="1782" w:type="dxa"/>
            <w:noWrap/>
            <w:vAlign w:val="center"/>
          </w:tcPr>
          <w:p>
            <w:pPr>
              <w:widowControl/>
              <w:spacing w:line="360" w:lineRule="auto"/>
              <w:ind w:firstLine="480"/>
              <w:jc w:val="left"/>
              <w:rPr>
                <w:rFonts w:hint="eastAsia" w:ascii="宋体" w:hAnsi="宋体" w:eastAsia="宋体" w:cs="宋体"/>
                <w:kern w:val="0"/>
                <w:sz w:val="24"/>
                <w:szCs w:val="24"/>
              </w:rPr>
            </w:pPr>
            <w:r>
              <w:rPr>
                <w:rFonts w:hint="eastAsia" w:ascii="宋体" w:hAnsi="宋体" w:eastAsia="宋体" w:cs="宋体"/>
                <w:kern w:val="0"/>
                <w:sz w:val="24"/>
                <w:szCs w:val="24"/>
              </w:rPr>
              <w:t>100.00</w:t>
            </w:r>
          </w:p>
        </w:tc>
      </w:tr>
    </w:tbl>
    <w:p>
      <w:pPr>
        <w:rPr>
          <w:rFonts w:hint="eastAsia" w:ascii="宋体" w:hAnsi="宋体" w:eastAsia="宋体" w:cs="Times New Roman"/>
          <w:b/>
          <w:sz w:val="24"/>
        </w:rPr>
      </w:pPr>
    </w:p>
    <w:p>
      <w:pPr>
        <w:adjustRightInd w:val="0"/>
        <w:snapToGrid w:val="0"/>
        <w:jc w:val="center"/>
        <w:rPr>
          <w:rFonts w:hint="eastAsia" w:ascii="宋体" w:hAnsi="宋体" w:eastAsia="宋体" w:cs="Times New Roman"/>
          <w:b/>
          <w:sz w:val="24"/>
        </w:rPr>
      </w:pPr>
    </w:p>
    <w:p>
      <w:pPr>
        <w:adjustRightInd w:val="0"/>
        <w:snapToGrid w:val="0"/>
        <w:jc w:val="center"/>
        <w:rPr>
          <w:rFonts w:ascii="宋体" w:hAnsi="宋体" w:eastAsia="宋体" w:cs="Times New Roman"/>
          <w:b/>
          <w:sz w:val="24"/>
        </w:rPr>
      </w:pPr>
      <w:r>
        <w:rPr>
          <w:rFonts w:hint="eastAsia" w:ascii="宋体" w:hAnsi="宋体" w:eastAsia="宋体" w:cs="Times New Roman"/>
          <w:b/>
          <w:sz w:val="24"/>
        </w:rPr>
        <w:t>表4 教学活动时间分配表</w:t>
      </w:r>
    </w:p>
    <w:tbl>
      <w:tblPr>
        <w:tblStyle w:val="5"/>
        <w:tblW w:w="9653" w:type="dxa"/>
        <w:tblInd w:w="0" w:type="dxa"/>
        <w:tblLayout w:type="fixed"/>
        <w:tblCellMar>
          <w:top w:w="0" w:type="dxa"/>
          <w:left w:w="0" w:type="dxa"/>
          <w:bottom w:w="0" w:type="dxa"/>
          <w:right w:w="0" w:type="dxa"/>
        </w:tblCellMar>
      </w:tblPr>
      <w:tblGrid>
        <w:gridCol w:w="1080"/>
        <w:gridCol w:w="2196"/>
        <w:gridCol w:w="857"/>
        <w:gridCol w:w="1303"/>
        <w:gridCol w:w="962"/>
        <w:gridCol w:w="1065"/>
        <w:gridCol w:w="735"/>
        <w:gridCol w:w="1455"/>
      </w:tblGrid>
      <w:tr>
        <w:tblPrEx>
          <w:tblCellMar>
            <w:top w:w="0" w:type="dxa"/>
            <w:left w:w="0" w:type="dxa"/>
            <w:bottom w:w="0" w:type="dxa"/>
            <w:right w:w="0" w:type="dxa"/>
          </w:tblCellMar>
        </w:tblPrEx>
        <w:trPr>
          <w:trHeight w:val="975"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 xml:space="preserve">教学 </w:t>
            </w:r>
          </w:p>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学期</w:t>
            </w:r>
          </w:p>
        </w:tc>
        <w:tc>
          <w:tcPr>
            <w:tcW w:w="21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教学周（含节假日）</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考核</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军事理论</w:t>
            </w:r>
          </w:p>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与技能</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 xml:space="preserve">毕业 </w:t>
            </w:r>
          </w:p>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教育</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kern w:val="0"/>
                <w:sz w:val="24"/>
                <w:szCs w:val="24"/>
              </w:rPr>
            </w:pPr>
            <w:r>
              <w:rPr>
                <w:rFonts w:hint="eastAsia" w:ascii="宋体" w:hAnsi="宋体" w:eastAsia="宋体" w:cs="宋体"/>
                <w:kern w:val="0"/>
                <w:sz w:val="24"/>
                <w:szCs w:val="24"/>
              </w:rPr>
              <w:t xml:space="preserve">社会 </w:t>
            </w:r>
          </w:p>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实践</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岗位</w:t>
            </w:r>
          </w:p>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highlight w:val="none"/>
              </w:rPr>
              <w:t>实习</w:t>
            </w:r>
          </w:p>
        </w:tc>
        <w:tc>
          <w:tcPr>
            <w:tcW w:w="14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合计</w:t>
            </w:r>
          </w:p>
        </w:tc>
      </w:tr>
      <w:tr>
        <w:tblPrEx>
          <w:tblCellMar>
            <w:top w:w="0" w:type="dxa"/>
            <w:left w:w="0" w:type="dxa"/>
            <w:bottom w:w="0" w:type="dxa"/>
            <w:right w:w="0" w:type="dxa"/>
          </w:tblCellMar>
        </w:tblPrEx>
        <w:trPr>
          <w:trHeight w:val="375"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w:t>
            </w:r>
          </w:p>
        </w:tc>
        <w:tc>
          <w:tcPr>
            <w:tcW w:w="21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16</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14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20</w:t>
            </w:r>
          </w:p>
        </w:tc>
      </w:tr>
      <w:tr>
        <w:tblPrEx>
          <w:tblCellMar>
            <w:top w:w="0" w:type="dxa"/>
            <w:left w:w="0" w:type="dxa"/>
            <w:bottom w:w="0" w:type="dxa"/>
            <w:right w:w="0" w:type="dxa"/>
          </w:tblCellMar>
        </w:tblPrEx>
        <w:trPr>
          <w:trHeight w:val="375"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w:t>
            </w:r>
          </w:p>
        </w:tc>
        <w:tc>
          <w:tcPr>
            <w:tcW w:w="21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18</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14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20</w:t>
            </w:r>
          </w:p>
        </w:tc>
      </w:tr>
      <w:tr>
        <w:tblPrEx>
          <w:tblCellMar>
            <w:top w:w="0" w:type="dxa"/>
            <w:left w:w="0" w:type="dxa"/>
            <w:bottom w:w="0" w:type="dxa"/>
            <w:right w:w="0" w:type="dxa"/>
          </w:tblCellMar>
        </w:tblPrEx>
        <w:trPr>
          <w:trHeight w:val="375"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3</w:t>
            </w:r>
          </w:p>
        </w:tc>
        <w:tc>
          <w:tcPr>
            <w:tcW w:w="21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18</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14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20</w:t>
            </w:r>
          </w:p>
        </w:tc>
      </w:tr>
      <w:tr>
        <w:tblPrEx>
          <w:tblCellMar>
            <w:top w:w="0" w:type="dxa"/>
            <w:left w:w="0" w:type="dxa"/>
            <w:bottom w:w="0" w:type="dxa"/>
            <w:right w:w="0" w:type="dxa"/>
          </w:tblCellMar>
        </w:tblPrEx>
        <w:trPr>
          <w:trHeight w:val="375"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4</w:t>
            </w:r>
          </w:p>
        </w:tc>
        <w:tc>
          <w:tcPr>
            <w:tcW w:w="21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18</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p>
        </w:tc>
        <w:tc>
          <w:tcPr>
            <w:tcW w:w="14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20</w:t>
            </w:r>
          </w:p>
        </w:tc>
      </w:tr>
      <w:tr>
        <w:tblPrEx>
          <w:tblCellMar>
            <w:top w:w="0" w:type="dxa"/>
            <w:left w:w="0" w:type="dxa"/>
            <w:bottom w:w="0" w:type="dxa"/>
            <w:right w:w="0" w:type="dxa"/>
          </w:tblCellMar>
        </w:tblPrEx>
        <w:trPr>
          <w:trHeight w:val="375"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5</w:t>
            </w:r>
          </w:p>
        </w:tc>
        <w:tc>
          <w:tcPr>
            <w:tcW w:w="21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r>
              <w:rPr>
                <w:rFonts w:hint="eastAsia" w:ascii="宋体" w:hAnsi="宋体" w:eastAsia="宋体" w:cs="宋体"/>
                <w:sz w:val="24"/>
                <w:szCs w:val="24"/>
              </w:rPr>
              <w:t>0</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20</w:t>
            </w:r>
          </w:p>
        </w:tc>
        <w:tc>
          <w:tcPr>
            <w:tcW w:w="14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20</w:t>
            </w:r>
          </w:p>
        </w:tc>
      </w:tr>
      <w:tr>
        <w:tblPrEx>
          <w:tblCellMar>
            <w:top w:w="0" w:type="dxa"/>
            <w:left w:w="0" w:type="dxa"/>
            <w:bottom w:w="0" w:type="dxa"/>
            <w:right w:w="0" w:type="dxa"/>
          </w:tblCellMar>
        </w:tblPrEx>
        <w:trPr>
          <w:trHeight w:val="375"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6</w:t>
            </w:r>
          </w:p>
        </w:tc>
        <w:tc>
          <w:tcPr>
            <w:tcW w:w="21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0</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sz w:val="24"/>
                <w:szCs w:val="24"/>
              </w:rPr>
            </w:pP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kern w:val="0"/>
                <w:sz w:val="24"/>
                <w:szCs w:val="24"/>
                <w:lang w:val="en-US" w:eastAsia="zh-CN"/>
              </w:rPr>
              <w:t>20</w:t>
            </w:r>
          </w:p>
        </w:tc>
        <w:tc>
          <w:tcPr>
            <w:tcW w:w="14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kern w:val="0"/>
                <w:sz w:val="24"/>
                <w:szCs w:val="24"/>
                <w:lang w:val="en-US" w:eastAsia="zh-CN"/>
              </w:rPr>
              <w:t>22</w:t>
            </w:r>
          </w:p>
        </w:tc>
      </w:tr>
      <w:tr>
        <w:tblPrEx>
          <w:tblCellMar>
            <w:top w:w="0" w:type="dxa"/>
            <w:left w:w="0" w:type="dxa"/>
            <w:bottom w:w="0" w:type="dxa"/>
            <w:right w:w="0" w:type="dxa"/>
          </w:tblCellMar>
        </w:tblPrEx>
        <w:trPr>
          <w:trHeight w:val="375" w:hRule="atLeast"/>
        </w:trPr>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合计</w:t>
            </w:r>
          </w:p>
        </w:tc>
        <w:tc>
          <w:tcPr>
            <w:tcW w:w="219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70</w:t>
            </w:r>
          </w:p>
        </w:tc>
        <w:tc>
          <w:tcPr>
            <w:tcW w:w="8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5</w:t>
            </w:r>
          </w:p>
        </w:tc>
        <w:tc>
          <w:tcPr>
            <w:tcW w:w="130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w:t>
            </w:r>
          </w:p>
        </w:tc>
        <w:tc>
          <w:tcPr>
            <w:tcW w:w="96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lang w:eastAsia="zh-CN"/>
              </w:rPr>
            </w:pPr>
            <w:r>
              <w:rPr>
                <w:rFonts w:hint="eastAsia" w:ascii="宋体" w:hAnsi="宋体" w:eastAsia="宋体" w:cs="宋体"/>
                <w:kern w:val="0"/>
                <w:sz w:val="24"/>
                <w:szCs w:val="24"/>
                <w:lang w:val="en-US" w:eastAsia="zh-CN"/>
              </w:rPr>
              <w:t>1</w:t>
            </w:r>
          </w:p>
        </w:tc>
        <w:tc>
          <w:tcPr>
            <w:tcW w:w="10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4</w:t>
            </w:r>
          </w:p>
        </w:tc>
        <w:tc>
          <w:tcPr>
            <w:tcW w:w="73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kern w:val="0"/>
                <w:sz w:val="24"/>
                <w:szCs w:val="24"/>
                <w:lang w:val="en-US" w:eastAsia="zh-CN"/>
              </w:rPr>
              <w:t>20</w:t>
            </w:r>
          </w:p>
        </w:tc>
        <w:tc>
          <w:tcPr>
            <w:tcW w:w="145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szCs w:val="24"/>
                <w:lang w:val="en-US" w:eastAsia="zh-CN"/>
              </w:rPr>
            </w:pPr>
            <w:r>
              <w:rPr>
                <w:rFonts w:hint="eastAsia" w:ascii="宋体" w:hAnsi="宋体" w:eastAsia="宋体" w:cs="宋体"/>
                <w:kern w:val="0"/>
                <w:sz w:val="24"/>
                <w:szCs w:val="24"/>
                <w:lang w:val="en-US" w:eastAsia="zh-CN"/>
              </w:rPr>
              <w:t>122</w:t>
            </w:r>
          </w:p>
        </w:tc>
      </w:tr>
    </w:tbl>
    <w:p>
      <w:pPr>
        <w:adjustRightInd w:val="0"/>
        <w:snapToGrid w:val="0"/>
        <w:spacing w:line="360" w:lineRule="auto"/>
        <w:ind w:firstLine="482" w:firstLineChars="200"/>
        <w:jc w:val="left"/>
        <w:rPr>
          <w:rFonts w:hint="eastAsia" w:ascii="宋体" w:hAnsi="宋体" w:eastAsia="宋体" w:cs="Times New Roman"/>
          <w:b/>
          <w:sz w:val="24"/>
        </w:rPr>
      </w:pPr>
    </w:p>
    <w:p>
      <w:pPr>
        <w:adjustRightInd w:val="0"/>
        <w:snapToGrid w:val="0"/>
        <w:spacing w:line="360" w:lineRule="auto"/>
        <w:ind w:firstLine="482" w:firstLineChars="200"/>
        <w:jc w:val="left"/>
        <w:rPr>
          <w:rFonts w:ascii="宋体" w:hAnsi="宋体" w:eastAsia="宋体" w:cs="Times New Roman"/>
          <w:sz w:val="24"/>
        </w:rPr>
      </w:pPr>
      <w:r>
        <w:rPr>
          <w:rFonts w:hint="eastAsia" w:ascii="宋体" w:hAnsi="宋体" w:eastAsia="宋体" w:cs="Times New Roman"/>
          <w:b/>
          <w:sz w:val="24"/>
        </w:rPr>
        <w:t>八、实施保障</w:t>
      </w:r>
    </w:p>
    <w:p>
      <w:pPr>
        <w:adjustRightInd w:val="0"/>
        <w:snapToGrid w:val="0"/>
        <w:spacing w:line="360" w:lineRule="auto"/>
        <w:ind w:firstLine="482" w:firstLineChars="200"/>
        <w:jc w:val="left"/>
        <w:rPr>
          <w:rFonts w:ascii="宋体" w:hAnsi="宋体" w:eastAsia="宋体" w:cs="Times New Roman"/>
          <w:b/>
          <w:sz w:val="24"/>
        </w:rPr>
      </w:pPr>
      <w:r>
        <w:rPr>
          <w:rFonts w:hint="eastAsia" w:ascii="宋体" w:hAnsi="宋体" w:eastAsia="宋体" w:cs="Times New Roman"/>
          <w:b/>
          <w:sz w:val="24"/>
        </w:rPr>
        <w:t>（一）师资队伍</w:t>
      </w:r>
    </w:p>
    <w:p>
      <w:pPr>
        <w:adjustRightInd w:val="0"/>
        <w:snapToGrid w:val="0"/>
        <w:spacing w:line="360" w:lineRule="auto"/>
        <w:ind w:firstLine="480" w:firstLineChars="200"/>
        <w:jc w:val="left"/>
        <w:rPr>
          <w:rFonts w:hint="eastAsia" w:ascii="宋体" w:hAnsi="宋体" w:eastAsia="宋体" w:cs="Times New Roman"/>
          <w:bCs/>
          <w:sz w:val="24"/>
        </w:rPr>
      </w:pPr>
      <w:r>
        <w:rPr>
          <w:rFonts w:hint="eastAsia" w:ascii="宋体" w:hAnsi="宋体" w:eastAsia="宋体" w:cs="Times New Roman"/>
          <w:bCs/>
          <w:sz w:val="24"/>
          <w:lang w:val="en-US" w:eastAsia="zh-CN"/>
        </w:rPr>
        <w:t xml:space="preserve">1.师资结构 </w:t>
      </w:r>
    </w:p>
    <w:p>
      <w:pPr>
        <w:adjustRightInd w:val="0"/>
        <w:snapToGrid w:val="0"/>
        <w:spacing w:line="360" w:lineRule="auto"/>
        <w:ind w:firstLine="480" w:firstLineChars="200"/>
        <w:jc w:val="left"/>
        <w:rPr>
          <w:rFonts w:hint="eastAsia" w:ascii="宋体" w:hAnsi="宋体" w:eastAsia="宋体" w:cs="Times New Roman"/>
          <w:bCs/>
          <w:sz w:val="24"/>
        </w:rPr>
      </w:pPr>
      <w:r>
        <w:rPr>
          <w:rFonts w:hint="eastAsia" w:ascii="宋体" w:hAnsi="宋体" w:eastAsia="宋体" w:cs="Times New Roman"/>
          <w:bCs/>
          <w:sz w:val="24"/>
          <w:lang w:val="en-US" w:eastAsia="zh-CN"/>
        </w:rPr>
        <w:t xml:space="preserve">学生数与本专业专任教师数比例不高于 18:1，双师素质教师占专业教师比一般不低于 80%，专任教师队伍职称、年龄梯队结构合理。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2.专任教师 </w:t>
      </w:r>
    </w:p>
    <w:p>
      <w:pPr>
        <w:adjustRightInd w:val="0"/>
        <w:snapToGrid w:val="0"/>
        <w:spacing w:line="360" w:lineRule="auto"/>
        <w:ind w:firstLine="480" w:firstLineChars="200"/>
        <w:jc w:val="left"/>
        <w:rPr>
          <w:rFonts w:hint="eastAsia" w:ascii="宋体" w:hAnsi="宋体" w:eastAsia="宋体" w:cs="Times New Roman"/>
          <w:bCs/>
          <w:sz w:val="24"/>
        </w:rPr>
      </w:pPr>
      <w:r>
        <w:rPr>
          <w:rFonts w:hint="eastAsia" w:ascii="宋体" w:hAnsi="宋体" w:eastAsia="宋体" w:cs="Times New Roman"/>
          <w:bCs/>
          <w:sz w:val="24"/>
          <w:lang w:val="en-US" w:eastAsia="zh-CN"/>
        </w:rPr>
        <w:t xml:space="preserve">具有高校教师资格和本专业领域有关证书；有理想信念、有道德情操、有扎实学识、有仁爱之心；具有护理相关专业本科及以上学历；具有扎实的针灸推拿相关理论功底和实践能力；具有较强信息化教学能力，能够开展课程教学改革和科学研究；每五年累计不少于6个月的行业实践经历。 </w:t>
      </w:r>
    </w:p>
    <w:p>
      <w:pPr>
        <w:adjustRightInd w:val="0"/>
        <w:snapToGrid w:val="0"/>
        <w:spacing w:line="360" w:lineRule="auto"/>
        <w:ind w:firstLine="480" w:firstLineChars="200"/>
        <w:jc w:val="left"/>
        <w:rPr>
          <w:rFonts w:hint="eastAsia" w:ascii="宋体" w:hAnsi="宋体" w:eastAsia="宋体" w:cs="Times New Roman"/>
          <w:bCs/>
          <w:sz w:val="24"/>
        </w:rPr>
      </w:pPr>
      <w:r>
        <w:rPr>
          <w:rFonts w:hint="eastAsia" w:ascii="宋体" w:hAnsi="宋体" w:eastAsia="宋体" w:cs="Times New Roman"/>
          <w:bCs/>
          <w:sz w:val="24"/>
          <w:lang w:val="en-US" w:eastAsia="zh-CN"/>
        </w:rPr>
        <w:t xml:space="preserve">3.专业带头人 </w:t>
      </w:r>
    </w:p>
    <w:p>
      <w:pPr>
        <w:adjustRightInd w:val="0"/>
        <w:snapToGrid w:val="0"/>
        <w:spacing w:line="360" w:lineRule="auto"/>
        <w:ind w:firstLine="480" w:firstLineChars="200"/>
        <w:jc w:val="left"/>
        <w:rPr>
          <w:rFonts w:hint="eastAsia" w:ascii="宋体" w:hAnsi="宋体" w:eastAsia="宋体" w:cs="Times New Roman"/>
          <w:bCs/>
          <w:sz w:val="24"/>
        </w:rPr>
      </w:pPr>
      <w:r>
        <w:rPr>
          <w:rFonts w:hint="eastAsia" w:ascii="宋体" w:hAnsi="宋体" w:eastAsia="宋体" w:cs="Times New Roman"/>
          <w:bCs/>
          <w:sz w:val="24"/>
          <w:lang w:val="en-US" w:eastAsia="zh-CN"/>
        </w:rPr>
        <w:t xml:space="preserve">原则上应具有副高及以上职称，能够较好地把握国内外护理行业、专业发展，能广泛联系行业企业，了解行业人才的需求实际，教学设计、专业研究能力强，组织开展教科研工作能力强，在本区域或本领域具有一定的专业影响力。 </w:t>
      </w:r>
    </w:p>
    <w:p>
      <w:pPr>
        <w:adjustRightInd w:val="0"/>
        <w:snapToGrid w:val="0"/>
        <w:spacing w:line="360" w:lineRule="auto"/>
        <w:ind w:firstLine="480" w:firstLineChars="200"/>
        <w:jc w:val="left"/>
        <w:rPr>
          <w:rFonts w:hint="eastAsia" w:ascii="宋体" w:hAnsi="宋体" w:eastAsia="宋体" w:cs="Times New Roman"/>
          <w:bCs/>
          <w:sz w:val="24"/>
        </w:rPr>
      </w:pPr>
      <w:r>
        <w:rPr>
          <w:rFonts w:hint="eastAsia" w:ascii="宋体" w:hAnsi="宋体" w:eastAsia="宋体" w:cs="Times New Roman"/>
          <w:bCs/>
          <w:sz w:val="24"/>
          <w:lang w:val="en-US" w:eastAsia="zh-CN"/>
        </w:rPr>
        <w:t xml:space="preserve">4. 兼职教师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主要从医疗机构聘任，具备良好的思想政治素质、职业道德和工匠精神，具有扎实的护理专业知识和丰富的实际工作经验，具有中级及以上相关专业职称，能承担专业课程教学。</w:t>
      </w:r>
    </w:p>
    <w:p>
      <w:pPr>
        <w:adjustRightInd w:val="0"/>
        <w:snapToGrid w:val="0"/>
        <w:spacing w:line="360" w:lineRule="auto"/>
        <w:ind w:firstLine="482" w:firstLineChars="200"/>
        <w:jc w:val="left"/>
        <w:rPr>
          <w:rFonts w:hint="eastAsia" w:ascii="宋体" w:hAnsi="宋体" w:eastAsia="宋体" w:cs="Times New Roman"/>
          <w:bCs/>
          <w:sz w:val="24"/>
          <w:lang w:val="en-US" w:eastAsia="zh-CN"/>
        </w:rPr>
      </w:pPr>
      <w:r>
        <w:rPr>
          <w:rFonts w:hint="eastAsia" w:ascii="宋体" w:hAnsi="宋体" w:eastAsia="宋体" w:cs="Times New Roman"/>
          <w:b/>
          <w:bCs w:val="0"/>
          <w:sz w:val="24"/>
          <w:lang w:val="en-US" w:eastAsia="zh-CN"/>
        </w:rPr>
        <w:t>构建校外“现代师承制”特有的师承队伍—“师傅团队”，“师傅团队”中师傅的选聘突出以“德”为先，以“技”为本，建设德技双馨的师资队伍。“现代师承制”的师资队伍在“院校制”师资队伍的基础上，构建了“现代师承制”特有的师承队伍—“六人师傅团”。这些师傅们不仅具有高尚的医德和师德，他们在针灸、拔罐、蜂疗、康复技术、中药炮制与制剂、养生、拳术等技术技艺方面有很高的造诣。根据现代师承制要求与学生结对担任实习实训导师和学生职业发展规划指导等教学任务。</w:t>
      </w:r>
      <w:r>
        <w:rPr>
          <w:rFonts w:hint="eastAsia" w:ascii="宋体" w:hAnsi="宋体" w:eastAsia="宋体" w:cs="Times New Roman"/>
          <w:bCs/>
          <w:sz w:val="24"/>
          <w:lang w:val="en-US" w:eastAsia="zh-CN"/>
        </w:rPr>
        <w:t xml:space="preserve"> </w:t>
      </w:r>
    </w:p>
    <w:p>
      <w:pPr>
        <w:adjustRightInd w:val="0"/>
        <w:snapToGrid w:val="0"/>
        <w:spacing w:line="360" w:lineRule="auto"/>
        <w:ind w:firstLine="482" w:firstLineChars="200"/>
        <w:jc w:val="left"/>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 xml:space="preserve">（二）教学设施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1.专业教室基本条件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配备黑（白）板、多媒体计算机、投影设备、音响设备，互联网接入或 WiFi环境，并具有网络安全防护措施。安装应急照明装置并保持良好状态，符合紧急疏散要求、标志明显、保持逃生通道畅通无阻。长7-8米，宽5-6米的标准化教室，符合国家标准的课桌椅，互联网覆盖，设施齐全的多媒体教室。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2.校内实训室基本要求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实验实训条件能满足高等职业学校针灸推拿专业要求，采用了循序渐进式针灸推拿技能训练模式，以智慧职教和针灸虚拟仿真实训系统为平台，承载针灸推拿专业课程教学和仿真实训，使针灸推拿专业各项技术都能在模型上进行示教、练习，主要的实训教仪设备按 2-4 人/组配备，针灸推拿实训中心主要的教学设备配置标准：各种型号的针灸针、85厘米针灸穴位模型、穴位挂图、针灸器械包、艾绒、艾条、火罐、三棱针、皮肤针、皮内针、耳穴模型、耳穴探测仪、头针模型、火针、电针治疗仪、刮痧器具、按摩床、按摩巾、治疗凳、沙袋、多媒体教学系统等。</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3.校外基地基本要求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选择能够提供开展针灸推拿专业生产实习等的医院作为校外基地，建立稳定的指导教师队伍，制订完善的实训、实习管理规章制度。与专业建立紧密联系的校外实训基地达 20 个以上，按合作的深入程度分三个层次（一般基地、紧密基地、示范基地）进行建设，校外实训基地必须达到《职业学校学生实习管理规定》的相关要求，内、外、妇、儿、急诊、手术室等科室门类齐全，病种多样，带教力量雄厚的二甲以上中医医院或综合性医院。 </w:t>
      </w:r>
    </w:p>
    <w:p>
      <w:pPr>
        <w:adjustRightInd w:val="0"/>
        <w:snapToGrid w:val="0"/>
        <w:spacing w:line="360" w:lineRule="auto"/>
        <w:ind w:firstLine="482" w:firstLineChars="200"/>
        <w:jc w:val="left"/>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 xml:space="preserve">（三）教学资源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1．教材选用基本要求按照国家规定选用优质教材，禁止不合格的教材进入课堂。学校应建立由专业教师、行业专家和教研人员等参与的教材选用机构，完善教材选用制度，经过规范程序择优选用教材。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2．图书文献配备基本要求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图书文献配备能满足人才培养、专业建设、教科研等工作的需要，方便师生查询、借阅。专业类图书文献主要包括：中医行业政策法规、行业标准、技术规范以及中医类实验实训手册等；针灸推拿专业操作技术类图书和临床案例类图书；5种以上针灸推拿专业学术期刊。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3．数字教学资源配置基本要求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建设、配备与本专业有关的音视频素材、教学课件、数字化教学案例库、虚拟仿真软件、数字教材等专业教学资源库，种类丰富、形式多样、使用便捷、动态更新、满足教学。 </w:t>
      </w:r>
    </w:p>
    <w:p>
      <w:pPr>
        <w:adjustRightInd w:val="0"/>
        <w:snapToGrid w:val="0"/>
        <w:spacing w:line="360" w:lineRule="auto"/>
        <w:ind w:firstLine="482" w:firstLineChars="200"/>
        <w:jc w:val="left"/>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 xml:space="preserve">（四）教学方法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专业平台课程注重专业基础知识的学习，应突出课程教学的针对性，为后续专业课程的教学服务。专业课程教学应体现针灸推拿专业特色，考虑学生的特点，围绕临床典型案例开展教学。充分运用中医康复技术教学资源库的资源，开展线上线下混合式教学。教学方法可根据内容采用讲授、演示、讨论、角色扮演、情境、仿真、实训、实习等多种形式，并根据课程特点综合安排。教学中应体现学生为主体、教师为主导的教学。建议多采取小组协作式学习，理论联系实际，充分运用校内校外实践基地，开展课间见习、集中见习、岗位实习的实践环节，培养学生动手能力、临床思维能力以及综合能力。同时，全程渗透立德树人理念，培养学生救死扶伤、奉献自我的职业素养与职业情怀。 </w:t>
      </w:r>
    </w:p>
    <w:p>
      <w:pPr>
        <w:adjustRightInd w:val="0"/>
        <w:snapToGrid w:val="0"/>
        <w:spacing w:line="360" w:lineRule="auto"/>
        <w:ind w:firstLine="482" w:firstLineChars="200"/>
        <w:jc w:val="left"/>
        <w:rPr>
          <w:rFonts w:hint="eastAsia" w:ascii="宋体" w:hAnsi="宋体" w:eastAsia="宋体" w:cs="Times New Roman"/>
          <w:bCs/>
          <w:sz w:val="24"/>
          <w:lang w:val="en-US" w:eastAsia="zh-CN"/>
        </w:rPr>
      </w:pPr>
      <w:r>
        <w:rPr>
          <w:rFonts w:hint="eastAsia" w:ascii="宋体" w:hAnsi="宋体" w:eastAsia="宋体" w:cs="Times New Roman"/>
          <w:b/>
          <w:bCs w:val="0"/>
          <w:sz w:val="24"/>
          <w:lang w:val="en-US" w:eastAsia="zh-CN"/>
        </w:rPr>
        <w:t>运用现代教育理念和信息技术，在有限的培养时空环境下，行业名医名家与校内专任教师同步线上线下进行课堂教学、技术技能的传承与传授，以案例和情景教学法为主导，将理论知识具体化、生动化、直观化；将中医药传统技术技能科技化、人文化、鲜活化，延伸了传统课堂的时空，师生可“一对多、一对一、多对一”及时、随时互动。具体方法包括实时连线名老中医诊疗现场，学习名老中医诊疗经验；利用腾讯会议等形式，聆听名老中医线上专题授课；名老中医到学校课堂或实训室亲临指导教学等。</w:t>
      </w:r>
    </w:p>
    <w:p>
      <w:pPr>
        <w:adjustRightInd w:val="0"/>
        <w:snapToGrid w:val="0"/>
        <w:spacing w:line="360" w:lineRule="auto"/>
        <w:ind w:firstLine="482" w:firstLineChars="200"/>
        <w:jc w:val="left"/>
        <w:rPr>
          <w:rFonts w:hint="eastAsia" w:ascii="宋体" w:hAnsi="宋体" w:eastAsia="宋体" w:cs="Times New Roman"/>
          <w:b/>
          <w:bCs w:val="0"/>
          <w:sz w:val="24"/>
          <w:lang w:val="en-US" w:eastAsia="zh-CN"/>
        </w:rPr>
      </w:pPr>
      <w:r>
        <w:rPr>
          <w:rFonts w:hint="eastAsia" w:ascii="宋体" w:hAnsi="宋体" w:eastAsia="宋体" w:cs="Times New Roman"/>
          <w:b/>
          <w:bCs w:val="0"/>
          <w:sz w:val="24"/>
          <w:lang w:val="en-US" w:eastAsia="zh-CN"/>
        </w:rPr>
        <w:t xml:space="preserve">（五）学习评价 </w:t>
      </w:r>
    </w:p>
    <w:p>
      <w:pPr>
        <w:adjustRightInd w:val="0"/>
        <w:snapToGrid w:val="0"/>
        <w:spacing w:line="360" w:lineRule="auto"/>
        <w:ind w:firstLine="480" w:firstLineChars="200"/>
        <w:jc w:val="left"/>
        <w:rPr>
          <w:rFonts w:hint="eastAsia" w:ascii="宋体" w:hAnsi="宋体" w:eastAsia="宋体" w:cs="Times New Roman"/>
          <w:bCs/>
          <w:sz w:val="24"/>
          <w:lang w:val="en-US" w:eastAsia="zh-CN"/>
        </w:rPr>
      </w:pPr>
      <w:r>
        <w:rPr>
          <w:rFonts w:hint="eastAsia" w:ascii="宋体" w:hAnsi="宋体" w:eastAsia="宋体" w:cs="Times New Roman"/>
          <w:bCs/>
          <w:sz w:val="24"/>
          <w:lang w:val="en-US" w:eastAsia="zh-CN"/>
        </w:rPr>
        <w:t xml:space="preserve">核心课程采用形成性评价和终结性评价相结合的方式，拓展课程可借助网络进行线上点名记录、作业布置、课程浏览量以及试卷考核等形式进行形成性考核。其他课程的形成性评价包括学习态度、平时作业、教学实践活动、阶段测验、技能考核等内容，体现课程学习目标的达成情况。岗位实习评价根据实习具体要求实施。 </w:t>
      </w:r>
    </w:p>
    <w:p>
      <w:pPr>
        <w:adjustRightInd w:val="0"/>
        <w:snapToGrid w:val="0"/>
        <w:spacing w:line="360" w:lineRule="auto"/>
        <w:ind w:firstLine="482" w:firstLineChars="200"/>
        <w:jc w:val="left"/>
        <w:rPr>
          <w:rFonts w:ascii="宋体" w:hAnsi="宋体" w:eastAsia="宋体" w:cs="Times New Roman"/>
          <w:b/>
          <w:sz w:val="24"/>
        </w:rPr>
      </w:pPr>
      <w:r>
        <w:rPr>
          <w:rFonts w:hint="eastAsia" w:ascii="宋体" w:hAnsi="宋体" w:eastAsia="宋体" w:cs="Times New Roman"/>
          <w:b/>
          <w:sz w:val="24"/>
        </w:rPr>
        <w:t>（六）质量管理</w:t>
      </w:r>
    </w:p>
    <w:p>
      <w:pPr>
        <w:adjustRightInd w:val="0"/>
        <w:snapToGrid w:val="0"/>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教学管理要更新观念，为课程改革、教与学实施创造条件；要加强对教学过程的质量监控，促进教师教学能力的提升，保证教学质量。</w:t>
      </w:r>
    </w:p>
    <w:p>
      <w:pPr>
        <w:adjustRightInd w:val="0"/>
        <w:snapToGrid w:val="0"/>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1．成立由行业专家、职业教育专家、教师及教学管理人员组成的专业建设和教学指导委员会，进行整体教育教学指导。</w:t>
      </w:r>
    </w:p>
    <w:p>
      <w:pPr>
        <w:adjustRightInd w:val="0"/>
        <w:snapToGrid w:val="0"/>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2．教学管理工作应在规范性与灵活性的原则下，结合学校实际教学资源，体现专业特点，保证“教</w:t>
      </w:r>
      <w:r>
        <w:rPr>
          <w:rFonts w:hint="eastAsia" w:ascii="宋体" w:hAnsi="宋体" w:eastAsia="宋体" w:cs="Times New Roman"/>
          <w:bCs/>
          <w:sz w:val="24"/>
          <w:lang w:eastAsia="zh-CN"/>
        </w:rPr>
        <w:t>、</w:t>
      </w:r>
      <w:r>
        <w:rPr>
          <w:rFonts w:hint="eastAsia" w:ascii="宋体" w:hAnsi="宋体" w:eastAsia="宋体" w:cs="Times New Roman"/>
          <w:bCs/>
          <w:sz w:val="24"/>
        </w:rPr>
        <w:t>学</w:t>
      </w:r>
      <w:r>
        <w:rPr>
          <w:rFonts w:hint="eastAsia" w:ascii="宋体" w:hAnsi="宋体" w:eastAsia="宋体" w:cs="Times New Roman"/>
          <w:bCs/>
          <w:sz w:val="24"/>
          <w:lang w:eastAsia="zh-CN"/>
        </w:rPr>
        <w:t>、</w:t>
      </w:r>
      <w:r>
        <w:rPr>
          <w:rFonts w:hint="eastAsia" w:ascii="宋体" w:hAnsi="宋体" w:eastAsia="宋体" w:cs="Times New Roman"/>
          <w:bCs/>
          <w:sz w:val="24"/>
        </w:rPr>
        <w:t>做”三者相结合，提高教学效果。为实现学生的早接触实际工作、多接触实际工作，应合理安排课程，调配教师，组织与管理好教学，提高校内实训室课内外的使用效率，积极与校外实训基地协调合作，完成见习、实习计划。</w:t>
      </w:r>
    </w:p>
    <w:p>
      <w:pPr>
        <w:adjustRightInd w:val="0"/>
        <w:snapToGrid w:val="0"/>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3．聘请中级以上职称的行业专家参与课程建设与教学活动，共同保证本标准的实施质量。</w:t>
      </w:r>
    </w:p>
    <w:p>
      <w:pPr>
        <w:adjustRightInd w:val="0"/>
        <w:snapToGrid w:val="0"/>
        <w:spacing w:line="360" w:lineRule="auto"/>
        <w:ind w:firstLine="480" w:firstLineChars="200"/>
        <w:rPr>
          <w:rFonts w:ascii="宋体" w:hAnsi="宋体" w:eastAsia="宋体" w:cs="Times New Roman"/>
          <w:bCs/>
          <w:sz w:val="24"/>
        </w:rPr>
      </w:pPr>
      <w:r>
        <w:rPr>
          <w:rFonts w:hint="eastAsia" w:ascii="宋体" w:hAnsi="宋体" w:eastAsia="宋体" w:cs="Times New Roman"/>
          <w:bCs/>
          <w:sz w:val="24"/>
        </w:rPr>
        <w:t>4．建立教学质量监控与教科研体系，设立教学督导与教研管理机构，加强对教学过程的质量监控，改革教学评价的标准和方法，针对教学过程中的问题进行探索和研究，促进教师教学能力和科研水平的提升，保证教学质量。</w:t>
      </w:r>
    </w:p>
    <w:p>
      <w:pPr>
        <w:adjustRightInd w:val="0"/>
        <w:snapToGrid w:val="0"/>
        <w:spacing w:line="360" w:lineRule="auto"/>
        <w:ind w:firstLine="482" w:firstLineChars="200"/>
        <w:rPr>
          <w:rFonts w:ascii="宋体" w:hAnsi="宋体" w:eastAsia="宋体" w:cs="Times New Roman"/>
          <w:b/>
          <w:sz w:val="24"/>
        </w:rPr>
      </w:pPr>
      <w:r>
        <w:rPr>
          <w:rFonts w:hint="eastAsia" w:ascii="宋体" w:hAnsi="宋体" w:eastAsia="宋体" w:cs="Times New Roman"/>
          <w:b/>
          <w:sz w:val="24"/>
        </w:rPr>
        <w:t>九、毕业要求</w:t>
      </w:r>
    </w:p>
    <w:p>
      <w:pPr>
        <w:spacing w:line="360" w:lineRule="auto"/>
        <w:ind w:firstLine="480" w:firstLineChars="200"/>
        <w:jc w:val="left"/>
        <w:rPr>
          <w:rFonts w:hint="eastAsia" w:ascii="宋体" w:hAnsi="宋体" w:cs="宋体"/>
          <w:color w:val="000000"/>
          <w:kern w:val="0"/>
          <w:sz w:val="24"/>
        </w:rPr>
      </w:pPr>
      <w:r>
        <w:rPr>
          <w:rFonts w:hint="eastAsia" w:ascii="宋体" w:hAnsi="宋体" w:cs="宋体"/>
          <w:color w:val="000000"/>
          <w:kern w:val="0"/>
          <w:sz w:val="24"/>
        </w:rPr>
        <w:t>1.学生学完人才培养方案规定的课程，成绩合格，获得规定的</w:t>
      </w:r>
      <w:r>
        <w:rPr>
          <w:rFonts w:hint="eastAsia" w:ascii="宋体" w:hAnsi="宋体" w:cs="宋体"/>
          <w:color w:val="000000"/>
          <w:kern w:val="0"/>
          <w:sz w:val="24"/>
          <w:lang w:val="en-US" w:eastAsia="zh-CN"/>
        </w:rPr>
        <w:t>139.5</w:t>
      </w:r>
      <w:r>
        <w:rPr>
          <w:rFonts w:hint="eastAsia" w:ascii="宋体" w:hAnsi="宋体" w:cs="宋体"/>
          <w:color w:val="000000"/>
          <w:kern w:val="0"/>
          <w:sz w:val="24"/>
        </w:rPr>
        <w:t>学分</w:t>
      </w:r>
      <w:r>
        <w:rPr>
          <w:rFonts w:hint="eastAsia" w:ascii="宋体" w:hAnsi="宋体" w:cs="宋体"/>
          <w:color w:val="000000"/>
          <w:kern w:val="0"/>
          <w:sz w:val="24"/>
          <w:lang w:eastAsia="zh-CN"/>
        </w:rPr>
        <w:t>，</w:t>
      </w:r>
      <w:r>
        <w:rPr>
          <w:rFonts w:hint="eastAsia" w:ascii="宋体" w:hAnsi="宋体" w:cs="宋体"/>
          <w:color w:val="000000"/>
          <w:kern w:val="0"/>
          <w:sz w:val="24"/>
        </w:rPr>
        <w:t>其中</w:t>
      </w:r>
      <w:r>
        <w:rPr>
          <w:rFonts w:hint="eastAsia" w:ascii="宋体" w:hAnsi="宋体" w:cs="宋体"/>
          <w:color w:val="000000"/>
          <w:kern w:val="0"/>
          <w:sz w:val="24"/>
          <w:lang w:val="zh-CN"/>
        </w:rPr>
        <w:t>必修课程</w:t>
      </w:r>
      <w:r>
        <w:rPr>
          <w:rFonts w:hint="eastAsia" w:ascii="宋体" w:hAnsi="宋体" w:cs="宋体"/>
          <w:color w:val="000000"/>
          <w:kern w:val="0"/>
          <w:sz w:val="24"/>
          <w:lang w:val="en-US" w:eastAsia="zh-CN"/>
        </w:rPr>
        <w:t>129.5</w:t>
      </w:r>
      <w:r>
        <w:rPr>
          <w:rFonts w:hint="eastAsia" w:ascii="宋体" w:hAnsi="宋体" w:cs="宋体"/>
          <w:color w:val="000000"/>
          <w:kern w:val="0"/>
          <w:sz w:val="24"/>
          <w:lang w:val="zh-CN"/>
        </w:rPr>
        <w:t>学分、选修课</w:t>
      </w:r>
      <w:r>
        <w:rPr>
          <w:rFonts w:hint="eastAsia" w:ascii="宋体" w:hAnsi="宋体" w:cs="宋体"/>
          <w:color w:val="000000"/>
          <w:kern w:val="0"/>
          <w:sz w:val="24"/>
        </w:rPr>
        <w:t>1</w:t>
      </w:r>
      <w:r>
        <w:rPr>
          <w:rFonts w:hint="eastAsia" w:ascii="宋体" w:hAnsi="宋体" w:cs="宋体"/>
          <w:color w:val="000000"/>
          <w:kern w:val="0"/>
          <w:sz w:val="24"/>
          <w:lang w:val="en-US" w:eastAsia="zh-CN"/>
        </w:rPr>
        <w:t>0</w:t>
      </w:r>
      <w:r>
        <w:rPr>
          <w:rFonts w:hint="eastAsia" w:ascii="宋体" w:hAnsi="宋体" w:cs="宋体"/>
          <w:color w:val="000000"/>
          <w:kern w:val="0"/>
          <w:sz w:val="24"/>
          <w:lang w:val="zh-CN"/>
        </w:rPr>
        <w:t>学分</w:t>
      </w:r>
      <w:r>
        <w:rPr>
          <w:rFonts w:hint="eastAsia" w:ascii="宋体" w:hAnsi="宋体" w:cs="宋体"/>
          <w:color w:val="000000"/>
          <w:kern w:val="0"/>
          <w:sz w:val="24"/>
        </w:rPr>
        <w:t>，符合国家教育部、广东省教育厅及学院对大专学历管理的要求，授予国家全日制普通高等教育专科学历证书。</w:t>
      </w:r>
    </w:p>
    <w:p>
      <w:pPr>
        <w:spacing w:line="360" w:lineRule="auto"/>
        <w:ind w:firstLine="480" w:firstLineChars="200"/>
        <w:jc w:val="left"/>
        <w:rPr>
          <w:rFonts w:hint="eastAsia" w:ascii="宋体" w:hAnsi="宋体" w:eastAsia="宋体" w:cs="Times New Roman"/>
          <w:b/>
          <w:bCs/>
          <w:sz w:val="24"/>
        </w:rPr>
      </w:pPr>
      <w:r>
        <w:rPr>
          <w:rFonts w:hint="eastAsia" w:ascii="宋体" w:hAnsi="宋体" w:cs="宋体"/>
          <w:color w:val="000000"/>
          <w:kern w:val="0"/>
          <w:sz w:val="24"/>
        </w:rPr>
        <w:t>2.学分计算方法：</w:t>
      </w:r>
      <w:r>
        <w:rPr>
          <w:rFonts w:hint="eastAsia" w:ascii="宋体" w:hAnsi="宋体" w:cs="宋体"/>
          <w:color w:val="000000"/>
          <w:kern w:val="0"/>
          <w:sz w:val="24"/>
          <w:lang w:val="zh-CN"/>
        </w:rPr>
        <w:t>每学科每</w:t>
      </w:r>
      <w:r>
        <w:rPr>
          <w:rFonts w:hint="eastAsia" w:ascii="宋体" w:hAnsi="宋体" w:cs="宋体"/>
          <w:color w:val="000000"/>
          <w:kern w:val="0"/>
          <w:sz w:val="24"/>
        </w:rPr>
        <w:t>16</w:t>
      </w:r>
      <w:r>
        <w:rPr>
          <w:rFonts w:hint="eastAsia" w:ascii="宋体" w:hAnsi="宋体" w:cs="宋体"/>
          <w:color w:val="000000"/>
          <w:kern w:val="0"/>
          <w:sz w:val="24"/>
          <w:lang w:val="zh-CN"/>
        </w:rPr>
        <w:t>学时计1学分。岗位实习安排</w:t>
      </w:r>
      <w:r>
        <w:rPr>
          <w:rFonts w:hint="eastAsia" w:ascii="宋体" w:hAnsi="宋体" w:cs="宋体"/>
          <w:color w:val="000000"/>
          <w:kern w:val="0"/>
          <w:sz w:val="24"/>
          <w:lang w:val="en-US" w:eastAsia="zh-CN"/>
        </w:rPr>
        <w:t>40</w:t>
      </w:r>
      <w:r>
        <w:rPr>
          <w:rFonts w:hint="eastAsia" w:ascii="宋体" w:hAnsi="宋体" w:cs="宋体"/>
          <w:color w:val="000000"/>
          <w:kern w:val="0"/>
          <w:sz w:val="24"/>
          <w:lang w:val="zh-CN"/>
        </w:rPr>
        <w:t>周实习，一周1学分，共</w:t>
      </w:r>
      <w:r>
        <w:rPr>
          <w:rFonts w:hint="eastAsia" w:ascii="宋体" w:hAnsi="宋体" w:cs="宋体"/>
          <w:color w:val="000000"/>
          <w:kern w:val="0"/>
          <w:sz w:val="24"/>
          <w:lang w:val="en-US" w:eastAsia="zh-CN"/>
        </w:rPr>
        <w:t>40</w:t>
      </w:r>
      <w:r>
        <w:rPr>
          <w:rFonts w:hint="eastAsia" w:ascii="宋体" w:hAnsi="宋体" w:cs="宋体"/>
          <w:color w:val="000000"/>
          <w:kern w:val="0"/>
          <w:sz w:val="24"/>
          <w:lang w:val="zh-CN"/>
        </w:rPr>
        <w:t>学分。</w:t>
      </w:r>
    </w:p>
    <w:p>
      <w:pPr>
        <w:numPr>
          <w:ilvl w:val="0"/>
          <w:numId w:val="2"/>
        </w:numPr>
        <w:adjustRightInd w:val="0"/>
        <w:snapToGrid w:val="0"/>
        <w:spacing w:line="360" w:lineRule="auto"/>
        <w:ind w:firstLine="482" w:firstLineChars="200"/>
        <w:jc w:val="left"/>
        <w:rPr>
          <w:rFonts w:hint="eastAsia" w:ascii="宋体" w:hAnsi="宋体" w:eastAsia="宋体" w:cs="Times New Roman"/>
          <w:b/>
          <w:bCs/>
          <w:sz w:val="24"/>
        </w:rPr>
      </w:pPr>
      <w:r>
        <w:rPr>
          <w:rFonts w:hint="eastAsia" w:ascii="宋体" w:hAnsi="宋体" w:eastAsia="宋体" w:cs="Times New Roman"/>
          <w:b/>
          <w:bCs/>
          <w:sz w:val="24"/>
        </w:rPr>
        <w:t>附录</w:t>
      </w:r>
    </w:p>
    <w:p>
      <w:pPr>
        <w:spacing w:line="360" w:lineRule="auto"/>
        <w:ind w:firstLine="560"/>
        <w:jc w:val="left"/>
        <w:rPr>
          <w:rFonts w:hint="eastAsia" w:ascii="宋体" w:hAnsi="宋体" w:eastAsia="宋体" w:cs="Times New Roman"/>
          <w:bCs/>
          <w:sz w:val="24"/>
        </w:rPr>
      </w:pPr>
      <w:r>
        <w:rPr>
          <w:rFonts w:hint="eastAsia" w:ascii="宋体" w:hAnsi="宋体" w:eastAsia="宋体" w:cs="Times New Roman"/>
          <w:bCs/>
          <w:sz w:val="24"/>
        </w:rPr>
        <w:t>教学进程表及说明。</w:t>
      </w:r>
    </w:p>
    <w:p>
      <w:pPr>
        <w:spacing w:line="360" w:lineRule="auto"/>
        <w:jc w:val="left"/>
        <w:rPr>
          <w:rFonts w:hint="eastAsia" w:ascii="宋体" w:hAnsi="宋体" w:eastAsia="宋体" w:cs="Times New Roman"/>
          <w:bCs/>
          <w:sz w:val="24"/>
          <w:lang w:eastAsia="zh-CN"/>
        </w:rPr>
      </w:pPr>
      <w:r>
        <w:drawing>
          <wp:inline distT="0" distB="0" distL="114300" distR="114300">
            <wp:extent cx="6115685" cy="9128760"/>
            <wp:effectExtent l="0" t="0" r="18415" b="152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4"/>
                    <a:stretch>
                      <a:fillRect/>
                    </a:stretch>
                  </pic:blipFill>
                  <pic:spPr>
                    <a:xfrm>
                      <a:off x="0" y="0"/>
                      <a:ext cx="6115685" cy="9128760"/>
                    </a:xfrm>
                    <a:prstGeom prst="rect">
                      <a:avLst/>
                    </a:prstGeom>
                    <a:noFill/>
                    <a:ln>
                      <a:noFill/>
                    </a:ln>
                  </pic:spPr>
                </pic:pic>
              </a:graphicData>
            </a:graphic>
          </wp:inline>
        </w:drawing>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1D5CC5"/>
    <w:multiLevelType w:val="singleLevel"/>
    <w:tmpl w:val="8C1D5CC5"/>
    <w:lvl w:ilvl="0" w:tentative="0">
      <w:start w:val="10"/>
      <w:numFmt w:val="chineseCounting"/>
      <w:suff w:val="nothing"/>
      <w:lvlText w:val="%1、"/>
      <w:lvlJc w:val="left"/>
      <w:rPr>
        <w:rFonts w:hint="eastAsia"/>
      </w:rPr>
    </w:lvl>
  </w:abstractNum>
  <w:abstractNum w:abstractNumId="1">
    <w:nsid w:val="3BE8ED9D"/>
    <w:multiLevelType w:val="singleLevel"/>
    <w:tmpl w:val="3BE8ED9D"/>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iNmY1Mjk4OWZhODdhNWJkNWEwMGM3OTUzNDhmM2UifQ=="/>
    <w:docVar w:name="KSO_WPS_MARK_KEY" w:val="ee35e745-f3c0-482c-bec5-9967a50da774"/>
  </w:docVars>
  <w:rsids>
    <w:rsidRoot w:val="00056759"/>
    <w:rsid w:val="00056759"/>
    <w:rsid w:val="00083D95"/>
    <w:rsid w:val="000A3B6C"/>
    <w:rsid w:val="000C7943"/>
    <w:rsid w:val="00145BEE"/>
    <w:rsid w:val="00181702"/>
    <w:rsid w:val="00204446"/>
    <w:rsid w:val="00234F9C"/>
    <w:rsid w:val="002458C2"/>
    <w:rsid w:val="00266671"/>
    <w:rsid w:val="002B0960"/>
    <w:rsid w:val="002D4793"/>
    <w:rsid w:val="00377D91"/>
    <w:rsid w:val="00387913"/>
    <w:rsid w:val="00397591"/>
    <w:rsid w:val="003A19D8"/>
    <w:rsid w:val="003B4486"/>
    <w:rsid w:val="00443C93"/>
    <w:rsid w:val="00476D49"/>
    <w:rsid w:val="004B00C2"/>
    <w:rsid w:val="004F1BE7"/>
    <w:rsid w:val="005352D5"/>
    <w:rsid w:val="00544C41"/>
    <w:rsid w:val="00546D8E"/>
    <w:rsid w:val="0057159D"/>
    <w:rsid w:val="005D2D68"/>
    <w:rsid w:val="005D6033"/>
    <w:rsid w:val="006302DD"/>
    <w:rsid w:val="006B4673"/>
    <w:rsid w:val="00726F27"/>
    <w:rsid w:val="00743D80"/>
    <w:rsid w:val="007746A8"/>
    <w:rsid w:val="0078088F"/>
    <w:rsid w:val="007C6569"/>
    <w:rsid w:val="007E1D33"/>
    <w:rsid w:val="007E7998"/>
    <w:rsid w:val="008A7477"/>
    <w:rsid w:val="008C2109"/>
    <w:rsid w:val="008C51A5"/>
    <w:rsid w:val="008F0B1E"/>
    <w:rsid w:val="00907487"/>
    <w:rsid w:val="00942D8E"/>
    <w:rsid w:val="00957BD8"/>
    <w:rsid w:val="0098306E"/>
    <w:rsid w:val="00984F10"/>
    <w:rsid w:val="00987B45"/>
    <w:rsid w:val="009C1D3C"/>
    <w:rsid w:val="00A02227"/>
    <w:rsid w:val="00A05AC2"/>
    <w:rsid w:val="00A524BE"/>
    <w:rsid w:val="00AC0299"/>
    <w:rsid w:val="00AE0D8F"/>
    <w:rsid w:val="00B47858"/>
    <w:rsid w:val="00B9363F"/>
    <w:rsid w:val="00BA474B"/>
    <w:rsid w:val="00BA7FBA"/>
    <w:rsid w:val="00BB0788"/>
    <w:rsid w:val="00BB7019"/>
    <w:rsid w:val="00BE0FA1"/>
    <w:rsid w:val="00BE292D"/>
    <w:rsid w:val="00BE402B"/>
    <w:rsid w:val="00C469C3"/>
    <w:rsid w:val="00C52C9A"/>
    <w:rsid w:val="00C8273A"/>
    <w:rsid w:val="00C9233C"/>
    <w:rsid w:val="00CD5D41"/>
    <w:rsid w:val="00CF32A6"/>
    <w:rsid w:val="00CF3C64"/>
    <w:rsid w:val="00D01C6F"/>
    <w:rsid w:val="00D17778"/>
    <w:rsid w:val="00DA300A"/>
    <w:rsid w:val="00DD0FFF"/>
    <w:rsid w:val="00DD1D13"/>
    <w:rsid w:val="00E56962"/>
    <w:rsid w:val="00E617CB"/>
    <w:rsid w:val="00E93EB5"/>
    <w:rsid w:val="00EF40C7"/>
    <w:rsid w:val="00F30993"/>
    <w:rsid w:val="00F92677"/>
    <w:rsid w:val="00FD3340"/>
    <w:rsid w:val="01351524"/>
    <w:rsid w:val="0136732D"/>
    <w:rsid w:val="017716F4"/>
    <w:rsid w:val="017B2ECF"/>
    <w:rsid w:val="01C951BF"/>
    <w:rsid w:val="031A476C"/>
    <w:rsid w:val="06915F45"/>
    <w:rsid w:val="07065698"/>
    <w:rsid w:val="08E60C68"/>
    <w:rsid w:val="09AD1729"/>
    <w:rsid w:val="09DD5EC1"/>
    <w:rsid w:val="0B343218"/>
    <w:rsid w:val="0B6D58AB"/>
    <w:rsid w:val="0B8B0156"/>
    <w:rsid w:val="0B907020"/>
    <w:rsid w:val="0C2506CA"/>
    <w:rsid w:val="0C816589"/>
    <w:rsid w:val="0CCD06A2"/>
    <w:rsid w:val="0D447276"/>
    <w:rsid w:val="0D7C18DD"/>
    <w:rsid w:val="0DB0051E"/>
    <w:rsid w:val="0E5E7EC3"/>
    <w:rsid w:val="0E87495F"/>
    <w:rsid w:val="12071BEC"/>
    <w:rsid w:val="135E687F"/>
    <w:rsid w:val="13FE2A78"/>
    <w:rsid w:val="14392159"/>
    <w:rsid w:val="15131497"/>
    <w:rsid w:val="15C260DC"/>
    <w:rsid w:val="18564ED3"/>
    <w:rsid w:val="195C76F5"/>
    <w:rsid w:val="19856C4C"/>
    <w:rsid w:val="1B8161EC"/>
    <w:rsid w:val="1B832D63"/>
    <w:rsid w:val="1BE631C4"/>
    <w:rsid w:val="1C031D4F"/>
    <w:rsid w:val="1C2C1601"/>
    <w:rsid w:val="1D4F1A4B"/>
    <w:rsid w:val="1E2F2F3C"/>
    <w:rsid w:val="20623843"/>
    <w:rsid w:val="217D15F8"/>
    <w:rsid w:val="21B83C9D"/>
    <w:rsid w:val="224049DC"/>
    <w:rsid w:val="224A1325"/>
    <w:rsid w:val="22590C76"/>
    <w:rsid w:val="22977436"/>
    <w:rsid w:val="22CA3A39"/>
    <w:rsid w:val="22DC7FE4"/>
    <w:rsid w:val="22FC0CFE"/>
    <w:rsid w:val="242D23BA"/>
    <w:rsid w:val="246853BA"/>
    <w:rsid w:val="24EF320A"/>
    <w:rsid w:val="25004994"/>
    <w:rsid w:val="25B57335"/>
    <w:rsid w:val="26B40DC7"/>
    <w:rsid w:val="26EE66C3"/>
    <w:rsid w:val="27094A4B"/>
    <w:rsid w:val="2751127A"/>
    <w:rsid w:val="27F2186E"/>
    <w:rsid w:val="29A273A6"/>
    <w:rsid w:val="2AA11F90"/>
    <w:rsid w:val="2B42499D"/>
    <w:rsid w:val="2BC3577C"/>
    <w:rsid w:val="2CAA18C5"/>
    <w:rsid w:val="2D581574"/>
    <w:rsid w:val="2E1336CC"/>
    <w:rsid w:val="2E255EB0"/>
    <w:rsid w:val="30085A89"/>
    <w:rsid w:val="301A5539"/>
    <w:rsid w:val="31B71A20"/>
    <w:rsid w:val="324B73A7"/>
    <w:rsid w:val="32560226"/>
    <w:rsid w:val="333C678F"/>
    <w:rsid w:val="336631F3"/>
    <w:rsid w:val="33A73D17"/>
    <w:rsid w:val="34A47067"/>
    <w:rsid w:val="34E81B23"/>
    <w:rsid w:val="35EA50EA"/>
    <w:rsid w:val="36156AF1"/>
    <w:rsid w:val="36C95072"/>
    <w:rsid w:val="384B4DB2"/>
    <w:rsid w:val="3B473250"/>
    <w:rsid w:val="3CBB635D"/>
    <w:rsid w:val="3CF75D37"/>
    <w:rsid w:val="3EFD49EF"/>
    <w:rsid w:val="3F1E2BD3"/>
    <w:rsid w:val="3F757A94"/>
    <w:rsid w:val="419D0EE7"/>
    <w:rsid w:val="427F375F"/>
    <w:rsid w:val="42891478"/>
    <w:rsid w:val="438B4F44"/>
    <w:rsid w:val="43FF43BD"/>
    <w:rsid w:val="44715053"/>
    <w:rsid w:val="44837921"/>
    <w:rsid w:val="449179A9"/>
    <w:rsid w:val="456C25E6"/>
    <w:rsid w:val="45D033B7"/>
    <w:rsid w:val="47A8065C"/>
    <w:rsid w:val="47C36A0E"/>
    <w:rsid w:val="492134F7"/>
    <w:rsid w:val="4A4F262A"/>
    <w:rsid w:val="4B1A6343"/>
    <w:rsid w:val="4B50680B"/>
    <w:rsid w:val="4B936525"/>
    <w:rsid w:val="4BA341B1"/>
    <w:rsid w:val="4C9B1B29"/>
    <w:rsid w:val="4DBF43F6"/>
    <w:rsid w:val="51935032"/>
    <w:rsid w:val="52DF3699"/>
    <w:rsid w:val="538C5F06"/>
    <w:rsid w:val="545310A8"/>
    <w:rsid w:val="54CF13B3"/>
    <w:rsid w:val="56D8324A"/>
    <w:rsid w:val="57EF62EE"/>
    <w:rsid w:val="583535A1"/>
    <w:rsid w:val="59023DB3"/>
    <w:rsid w:val="59C51078"/>
    <w:rsid w:val="5AB36497"/>
    <w:rsid w:val="5B823B38"/>
    <w:rsid w:val="5B960017"/>
    <w:rsid w:val="5C3F445D"/>
    <w:rsid w:val="5C645BFA"/>
    <w:rsid w:val="5DD21301"/>
    <w:rsid w:val="60131A80"/>
    <w:rsid w:val="60C9560D"/>
    <w:rsid w:val="611F2AAF"/>
    <w:rsid w:val="6461518D"/>
    <w:rsid w:val="64804F6D"/>
    <w:rsid w:val="64855DC5"/>
    <w:rsid w:val="648F36D8"/>
    <w:rsid w:val="663C7D81"/>
    <w:rsid w:val="675E537A"/>
    <w:rsid w:val="67C34F8B"/>
    <w:rsid w:val="69215309"/>
    <w:rsid w:val="696A3AD7"/>
    <w:rsid w:val="698D5419"/>
    <w:rsid w:val="6A42320B"/>
    <w:rsid w:val="6BFE2D6C"/>
    <w:rsid w:val="6CB341E3"/>
    <w:rsid w:val="6CF17C6D"/>
    <w:rsid w:val="6D417909"/>
    <w:rsid w:val="6EE837EC"/>
    <w:rsid w:val="6F7C74FC"/>
    <w:rsid w:val="70386084"/>
    <w:rsid w:val="72E12920"/>
    <w:rsid w:val="732A2921"/>
    <w:rsid w:val="74820F33"/>
    <w:rsid w:val="74FB22E3"/>
    <w:rsid w:val="75284986"/>
    <w:rsid w:val="75DA15E1"/>
    <w:rsid w:val="76D0766A"/>
    <w:rsid w:val="7721621A"/>
    <w:rsid w:val="775C52C1"/>
    <w:rsid w:val="79851A15"/>
    <w:rsid w:val="79D131AB"/>
    <w:rsid w:val="7B2A402F"/>
    <w:rsid w:val="7C4A2367"/>
    <w:rsid w:val="7D223FB3"/>
    <w:rsid w:val="7D406CBC"/>
    <w:rsid w:val="7DF82266"/>
    <w:rsid w:val="7F313C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paragraph" w:styleId="9">
    <w:name w:val="List Paragraph"/>
    <w:basedOn w:val="1"/>
    <w:unhideWhenUsed/>
    <w:qFormat/>
    <w:uiPriority w:val="99"/>
    <w:pPr>
      <w:ind w:firstLine="420" w:firstLineChars="200"/>
    </w:pPr>
  </w:style>
  <w:style w:type="character" w:customStyle="1" w:styleId="10">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12353</Words>
  <Characters>12776</Characters>
  <Lines>97</Lines>
  <Paragraphs>27</Paragraphs>
  <TotalTime>28</TotalTime>
  <ScaleCrop>false</ScaleCrop>
  <LinksUpToDate>false</LinksUpToDate>
  <CharactersWithSpaces>12823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2021-04-08T03:23:00Z</dcterms:created>
  <dc:creator>Administrator</dc:creator>
  <cp:lastModifiedBy>米健国</cp:lastModifiedBy>
  <dcterms:modified xsi:type="dcterms:W3CDTF">2023-05-29T15:24:32Z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9E52624FC9A04FF2A477E909AD3EFD06</vt:lpwstr>
  </property>
  <property fmtid="{D5CDD505-2E9C-101B-9397-08002B2CF9AE}" pid="4" name="commondata">
    <vt:lpwstr>eyJoZGlkIjoiNGRkZDNiZDFiMGQ4YzVlNTcwZmZiZDNhMjQ1NTQ0MGIifQ==</vt:lpwstr>
  </property>
</Properties>
</file>